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2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0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0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Порядке уведомления представителя нанимателя о фактах обращения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целях склонения государственных гражданских служащих министерства образования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12" w:tooltip="Федеральный закон от 25.12.2008 N 273-ФЗ (ред. от 30.09.2013) &quot;О противодействии коррупции&quot; ------------ Недействующая редакция {КонсультантПлюс}" w:history="1">
        <w:r>
          <w:rPr>
            <w:color w:val="000000" w:themeColor="text1"/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от 25.12.2008 № 273-ФЗ</w:t>
        <w:br/>
        <w:t xml:space="preserve">«О противодействии коррупции»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</w:pPr>
      <w:r>
        <w:rPr>
          <w:sz w:val="24"/>
        </w:rPr>
        <w:t xml:space="preserve">ПРИКАЗЫВАЮ:</w:t>
      </w:r>
      <w:r/>
    </w:p>
    <w:p>
      <w:pPr>
        <w:pStyle w:val="908"/>
        <w:jc w:val="both"/>
      </w:pPr>
      <w:r>
        <w:rPr>
          <w:sz w:val="24"/>
        </w:rPr>
      </w:r>
      <w:r/>
    </w:p>
    <w:p>
      <w:pPr>
        <w:pStyle w:val="90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прилагаемый </w:t>
      </w:r>
      <w:hyperlink w:tooltip="ПОРЯДОК" w:anchor="P41" w:history="1">
        <w:r>
          <w:rPr>
            <w:color w:val="000000" w:themeColor="text1"/>
            <w:sz w:val="28"/>
            <w:szCs w:val="28"/>
          </w:rPr>
          <w:t xml:space="preserve">Порядок</w:t>
        </w:r>
      </w:hyperlink>
      <w:r>
        <w:rPr>
          <w:sz w:val="28"/>
          <w:szCs w:val="28"/>
        </w:rPr>
        <w:t xml:space="preserve"> уведомления представителя нанимателя о фактах обращения в </w:t>
      </w:r>
      <w:r>
        <w:rPr>
          <w:sz w:val="28"/>
          <w:szCs w:val="28"/>
        </w:rPr>
        <w:t xml:space="preserve">целях склонения государственных гражданских служащих </w:t>
      </w:r>
      <w:r>
        <w:rPr>
          <w:sz w:val="28"/>
          <w:szCs w:val="28"/>
          <w:highlight w:val="none"/>
        </w:rPr>
        <w:t xml:space="preserve">министерства</w:t>
      </w:r>
      <w:r>
        <w:rPr>
          <w:sz w:val="28"/>
          <w:szCs w:val="28"/>
          <w:highlight w:val="white"/>
        </w:rPr>
        <w:t xml:space="preserve"> об</w:t>
      </w:r>
      <w:r>
        <w:rPr>
          <w:sz w:val="28"/>
          <w:szCs w:val="28"/>
        </w:rPr>
        <w:t xml:space="preserve">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4"/>
        </w:rPr>
        <w:t xml:space="preserve"> </w:t>
      </w:r>
      <w:r>
        <w:rPr>
          <w:sz w:val="28"/>
          <w:szCs w:val="28"/>
        </w:rPr>
        <w:t xml:space="preserve">Признать утратившими силу</w:t>
      </w:r>
      <w:r>
        <w:rPr>
          <w:color w:val="000000" w:themeColor="text1"/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- приказ </w:t>
      </w:r>
      <w:r>
        <w:rPr>
          <w:sz w:val="28"/>
          <w:szCs w:val="28"/>
        </w:rPr>
        <w:t xml:space="preserve">комитета образования Еврейской автономной области от 13.04.2011 № 224 № 224 «О Порядке уведомления представителя нанимателя о фактах обращения в целях склонения государственных гражданских служащих</w:t>
      </w:r>
      <w:r>
        <w:rPr>
          <w:sz w:val="28"/>
          <w:szCs w:val="28"/>
        </w:rPr>
        <w:t xml:space="preserve"> департамента образования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п</w:t>
      </w:r>
      <w:r>
        <w:rPr>
          <w:sz w:val="28"/>
          <w:szCs w:val="28"/>
          <w:highlight w:val="none"/>
        </w:rPr>
        <w:t xml:space="preserve">риказ комитета образования Еврейской автономной области от 08.04.2014 № 236 «О внесении изменений в Порядок уведомления представителя нанимателя о фактах обращения в целях склонения государственных гражданских служащих комитета образования Еврейской автоно</w:t>
      </w:r>
      <w:r>
        <w:rPr>
          <w:sz w:val="28"/>
          <w:szCs w:val="28"/>
          <w:highlight w:val="none"/>
        </w:rPr>
        <w:t xml:space="preserve">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правонарушений, утвержденный приказом комитета образования Еврейской автономной области от 13.04.2011 № 224»;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п</w:t>
      </w:r>
      <w:r>
        <w:rPr>
          <w:sz w:val="28"/>
          <w:szCs w:val="28"/>
          <w:highlight w:val="none"/>
        </w:rPr>
        <w:t xml:space="preserve">риказ комитета образования Еврейской автономной области от 22.09.2014 № 564 «О внесении изменения в Порядок уведомления представителя нанимателя о фактах обращения в целях склонения государственных гражданских служащих комитета образования Еврейской автоно</w:t>
      </w:r>
      <w:r>
        <w:rPr>
          <w:sz w:val="28"/>
          <w:szCs w:val="28"/>
          <w:highlight w:val="none"/>
        </w:rPr>
        <w:t xml:space="preserve">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правонарушений, утвержденный приказом комитета образования Еврейской автономной области от 13.04.2011 № 224»;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highlight w:val="none"/>
          <w:lang w:val="en-US"/>
        </w:rPr>
        <w:t xml:space="preserve">- </w:t>
      </w:r>
      <w:r>
        <w:rPr>
          <w:sz w:val="28"/>
          <w:szCs w:val="28"/>
          <w:highlight w:val="none"/>
          <w:lang w:val="ru-RU"/>
        </w:rPr>
        <w:t xml:space="preserve">приказ департамента образования Еврейской автономной области от 28.04.2021 № 221 «О внесении изменений в приказ комитета образования Еврейской автономной области от 13.04.2011 № 224 «О порядке уведомления представителя нанимателя о фактах обращения</w:t>
      </w:r>
      <w:r>
        <w:rPr>
          <w:sz w:val="28"/>
          <w:szCs w:val="28"/>
          <w:highlight w:val="none"/>
          <w:lang w:val="ru-RU"/>
        </w:rPr>
        <w:t xml:space="preserve"> в целях склонения государственных гражданских служащих комитета образования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highlight w:val="none"/>
          <w:lang w:val="ru-RU"/>
        </w:rPr>
        <w:t xml:space="preserve">- приказ департамента образования Еврейской автономной области от 29.11.2024 № 499 «О внесении изменения в приказ комитета образования Еврейской автономной области т 13.04.2011 № 224 «О Порядке уведомления представителя нанимателя о фактах обращения в ц</w:t>
      </w:r>
      <w:r>
        <w:rPr>
          <w:sz w:val="28"/>
          <w:szCs w:val="28"/>
          <w:highlight w:val="none"/>
          <w:lang w:val="ru-RU"/>
        </w:rPr>
        <w:t xml:space="preserve">елях склонения государственных гражданских служащих департамента образования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правонарушений»;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highlight w:val="none"/>
          <w:lang w:val="ru-RU"/>
        </w:rPr>
        <w:t xml:space="preserve">- </w:t>
      </w:r>
      <w:r>
        <w:rPr>
          <w:sz w:val="28"/>
          <w:szCs w:val="28"/>
          <w:highlight w:val="none"/>
          <w:lang w:val="ru-RU"/>
        </w:rPr>
        <w:t xml:space="preserve">приказ департамента образования Еврейской автономной области от 14.05.2025 № 195 «О внесении изменения в приказ департамента образования Еврейской автономной области от 13.04.2011 № 224 «О порядке уведомления представителя нанимателя о фактах обращения в ц</w:t>
      </w:r>
      <w:r>
        <w:rPr>
          <w:sz w:val="28"/>
          <w:szCs w:val="28"/>
          <w:highlight w:val="none"/>
          <w:lang w:val="ru-RU"/>
        </w:rPr>
        <w:t xml:space="preserve">елях склонения государственных гражданских служащих департамента образования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правонарушений».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приказа оставляю за собой.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4.Настоящий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both"/>
      </w:pPr>
      <w:r>
        <w:rPr>
          <w:sz w:val="24"/>
        </w:rPr>
      </w:r>
      <w:r/>
    </w:p>
    <w:p>
      <w:pPr>
        <w:pStyle w:val="908"/>
        <w:jc w:val="both"/>
      </w:pPr>
      <w:r>
        <w:rPr>
          <w:sz w:val="24"/>
        </w:rPr>
      </w:r>
      <w:r/>
    </w:p>
    <w:p>
      <w:pPr>
        <w:pStyle w:val="908"/>
        <w:jc w:val="both"/>
      </w:pPr>
      <w:r>
        <w:rPr>
          <w:sz w:val="24"/>
        </w:rPr>
      </w:r>
      <w:r/>
    </w:p>
    <w:p>
      <w:pPr>
        <w:pStyle w:val="900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8"/>
        <w:jc w:val="both"/>
      </w:pPr>
      <w:r>
        <w:rPr>
          <w:sz w:val="24"/>
        </w:rPr>
      </w:r>
      <w:r/>
    </w:p>
    <w:p>
      <w:pPr>
        <w:pStyle w:val="908"/>
        <w:jc w:val="both"/>
      </w:pPr>
      <w:r>
        <w:rPr>
          <w:sz w:val="24"/>
        </w:rPr>
      </w:r>
      <w:r/>
    </w:p>
    <w:p>
      <w:pPr>
        <w:pStyle w:val="908"/>
        <w:ind w:left="0" w:right="0" w:firstLine="5669"/>
        <w:jc w:val="left"/>
        <w:rPr>
          <w:sz w:val="28"/>
          <w:szCs w:val="28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908"/>
        <w:ind w:left="0" w:right="0" w:firstLine="5669"/>
        <w:jc w:val="left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left="0" w:right="0" w:firstLine="5669"/>
        <w:jc w:val="left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left="0" w:right="0" w:firstLine="5669"/>
        <w:jc w:val="left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left="0" w:right="0" w:firstLine="5669"/>
        <w:jc w:val="left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left="0" w:right="0" w:firstLine="5669"/>
        <w:jc w:val="left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left="5669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образования </w:t>
      </w:r>
      <w:r>
        <w:rPr>
          <w:sz w:val="28"/>
          <w:szCs w:val="28"/>
        </w:rPr>
        <w:t xml:space="preserve">Еврейской автономной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left="0" w:right="0" w:firstLine="566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___________№ 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jc w:val="center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уведомления представителя нанимателя о фактах обращения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целях склонения государственных гражданских служащих министерства образования 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Настоящий Порядок уведомления представителя нанимателя о фактах обращения в целях склонения государственных гражданских служащих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министерства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образования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области, за исключением лиц, назначение на должность которых осуществляет губернатор Еврейской автономной области, к совершению коррупционных правонарушений (далее - Порядок) разработан во исполнение положений Федерального </w:t>
      </w:r>
      <w:hyperlink r:id="rId13" w:tooltip="Федеральный закон от 25.12.2008 N 273-ФЗ (ред. от 08.08.2024) &quot;О противодействии корруп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закона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 25.12.2008 № 273-ФЗ «О противодействии коррупции» и определяет процедуру уведомления представителя нанимателя о фактах обращения в целях склонения государственных гражданских служащих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министерства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Еврейской автономной области, за исключением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государственных гражданских служащих Еврейской автономной области, назначение на должность которых осуществляет губернатор Еврейской автономной области, к совершению коррупционных правонарушений, организации проверки таких фактов и регистрации уведомлений.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hyperlink w:tooltip="                                Уведомление" w:anchor="P10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Уведомление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подается письменно по форме согласно приложению к настоящему Порядку специалисту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министерства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Еврейской автономной области (далее - министерство), в чьи полномочия входит осуществление функций по профилактике и противодействию коррупции, в том числе если государственный гражданский служащий 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за исключением государственны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гражданских служащих Еврейской автономной области, назначение на должность которых осуществляет губернатор Еврейской автономной области (далее - гражданский служащий), уже обратился по этому вопросу в органы прокуратуры или другие государственные органы.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Гражданский служащий обязан в течение одного рабочего дня, следующего за днем обращения к нему каких-либо лиц в целях скл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онения его к совершению коррупционных правонарушений, уведомить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нахождения гражданского служащего в командир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овке, в отпуске, вне места прохождения службы он обязан уведомить представителя нанимателя об указанных фактах в срок, установленный абзацем первым данного пункта, любым доступным способом, обеспечивающим возможность подтверждения факта такого уведомления.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Уведомление должно содержать следующие сведения: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фамилия, имя, отчество, должность, адрес места жительства и телефон лица, направившего уведомление;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описание обстоятельств, при которых стало известно о случаях обраще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 (в случае подачи уведомления гражданским служащим, названным в </w:t>
      </w:r>
      <w:hyperlink w:tooltip="7. Гражданский служащий, которому стало известно о фактах обращения каких-либо лиц к иным гражданским служащим в связи с исполнением ими служебных обязанностей в целях склонения их к совершению коррупционных правонарушений, вправе уведомлять об этом представителя нанимателя, органы прокуратуры или другие государственные органы в порядке, аналогичном настоящему Порядку." w:anchor="P69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Порядка, указываются фамилия, имя, отчество и должность гражданского служащего, которого склоняют к совершению коррупционных правонарушений);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подробные сведения о коррупционных правонарушениях, которые должен был бы совершить гражданский служащий по просьбе обратившихся к нему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все известные сведения о физическом (юридическом) лице, склоняющем гражданского служащего к коррупционному правонарушению;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описание способа и обстоятельств склонения гражданского служащего к совершению коррупционного правонарушения;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подпись и дата составления уведомления.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уведомлению прилагаются все имеющиеся материалы, подтверждающие обстоятельства обращения каких-либо лиц в целях склонения гражданского служащего к совершению коррупционных правонарушений.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Уведомление подлежит обязательной незамедлительной регистрации в специальном журнале, который должен быть прошит и пронумерован.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Ведение журнала возлагается на специалиста 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чьи полномочия входит осуществление функций по профилактике и противодействию коррупции.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Запрещается отражать в журнале ставшие известными сведения о частной жизни гражданского служащего, подавшего уведомление, его личной и семейной тайнах, а также иную конфиденциальную информацию, охраняемую законом.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Отказ в регистрации уведомления не допускается.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Конфиденциальность содержащихся в уведомлении сведений обеспечивается министерством.</w:t>
      </w:r>
      <w:r>
        <w:rPr>
          <w:rFonts w:ascii="Times New Roman" w:hAnsi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7. Гражданский служащий, которому стало известно о фактах обращения каких-либо лиц к иным гражданским служащим в св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язи с исполнением ими служебных обязанностей в целях склонения их к совершению коррупционных правонарушений, вправе уведомлять об этом представителя нанимателя, органы прокуратуры или другие государственные органы</w:t>
        <w:br/>
        <w:t xml:space="preserve">в порядке, аналогичном настоящему Порядку.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Проверка сведений о случаях обращения каких-либо лиц к гражданскому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служащему в связи с исполнением им служебных обязанностей в целях склонения его к совершению коррупционных правонарушений или о ставших ему известными фактах обращения</w:t>
        <w:br/>
        <w:t xml:space="preserve">каких-либо лиц к иным гражданским служащим в связи с исполнением ими служебных обязаннос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тей в целях склонения их к совершению коррупционных правонарушений осуществляется специалистом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чьи полномочия входит осуществление функций по профилактике и противодействию коррупции, в течение 3 рабочих дней со дня регистрации уведомления.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проведении проверки сведений, указанных в уведомлении (далее - проверка), министерством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обеспечивается соблюдение конституционных прав и свобод человека и гражданина, конфиденциальность содержащейся в уведомлении и прилагаемых к нему материалах информации.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Результаты проверки оформляются в виде информации на имя представителя нанимателя гражданского служащего, подавшего уведомление, которая подписывается министром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(или его заместителем при отсутствии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министра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Информация о результатах проверки с приложением уведомления и материалов проверки (пояснения гражданского служащего, иные представленные материалы - при наличии) в срок не позднее трех дней со дня окончан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ия проверки представляется представителю нанимателя гражданского служащего, подавшего уведомление, для принятия решения о направлении уведомления и материалов проверки в органы прокуратуры или другие государственные органы в соответствии с их компетенцией.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 Информация о результатах проверки, уведомление и материалы проверки направляются в органы прокуратуры или другие государственные органы в соответствии с их компетенцией, о чем извещается гра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жданский служащий, представивший уведомление. По решению представителя нанимателя информация о результатах проверки, уведомление и материалы проверки могут направляться как во все указанные органы одновременно, так и в один из них согласно его компетенции.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 Гражданский служащий, уведомивший представителя нанимателя, органы прокуратуры или другие государственны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органы о фактах обращения в целях склонения его к совершению коррупционного правонарушения, о фактах совершения другими гражданскими служащими коррупционных правонарушений, непредставления сведений, представления заведомо неполных сведений, за исключение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13. К гражданскому служащему, уведомившему органы прокуратуры или другие государственные органы о фактах обращения в целях склонения его к совершению коррупционных правонарушений, о фактах обращения каких-либо лиц к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ным гражданским служащим в связи с исполнением ими служебных обязанностей в целях склонения их к совершению коррупционных правонарушений, меры дисциплинарной ответственности в случае совершения этим лицом дисциплинарного проступка в течение года после указ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анного уведомления применяются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(далее - комиссия). В таком заседании комиссии может принимать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участие прокурор. Председатель комиссии представляет прокурору, осуществляющему надзор за соблюдением законодательства о государственной службе или законодательстве о труде, необходимые материалы не менее чем за пять рабочих дней до дня заседания комиссии.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827" w:right="0" w:firstLine="0"/>
        <w:jc w:val="right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827" w:right="0" w:firstLine="0"/>
        <w:jc w:val="left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Порядку уведомления представителя нанимателя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фактах обращения в целях склонения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государственных гражданских служащих министерства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827" w:right="0" w:firstLine="0"/>
        <w:jc w:val="left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исключением лиц, назначение на должность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которых осуществляет губернатор Еврейской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автономной области, к совершению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фамилия, имя, отчество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(от кого (фамилия, имя, отчество,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должность государственного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гражданского служащего,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ind w:left="0" w:right="0" w:firstLine="3827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адрес места жительства, телефон))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факте обращения в целях склонения государственного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гражданского служащего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Сообщаю, что: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(обстоятельства, при которых стало известно о случаях обращения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государственному гражданскому служащему в связи с исполнением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им служебных обязанностей каких-либо лиц в целях склонения его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совершению коррупционных правонарушений (дата, место, время,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другие условия))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ind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(подробные сведения о коррупционных правонарушениях, которые должен был бы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совершить государственный гражданский служащий по просьбе обратившихся лиц)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(все известные сведения о физическом (юридическом) лице, склоняющем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государственного гражданского служащего к коррупционному правонарушению)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ind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(все известные сведения о физическом (юридическом) лице, склоняющем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государственного гражданского служащего к коррупционному правонарушению)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ind w:firstLine="709"/>
        <w:jc w:val="both"/>
        <w:spacing w:before="0" w:beforeAutospacing="0" w:after="0" w:afterAutospacing="0"/>
        <w:rPr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(способ и обстоятельства склонения государственного гражданского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служащего к коррупционному правонарушению)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«___» ________________ 20___ г.                                 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(подпись)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907" w:right="850" w:bottom="907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0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4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90"/>
    <w:next w:val="890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3">
    <w:name w:val="Heading 1 Char"/>
    <w:link w:val="712"/>
    <w:uiPriority w:val="9"/>
    <w:rPr>
      <w:rFonts w:ascii="Arial" w:hAnsi="Arial" w:eastAsia="Arial" w:cs="Arial"/>
      <w:sz w:val="40"/>
      <w:szCs w:val="40"/>
    </w:rPr>
  </w:style>
  <w:style w:type="paragraph" w:styleId="714">
    <w:name w:val="Heading 2"/>
    <w:basedOn w:val="890"/>
    <w:next w:val="890"/>
    <w:link w:val="7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5">
    <w:name w:val="Heading 2 Char"/>
    <w:link w:val="714"/>
    <w:uiPriority w:val="9"/>
    <w:rPr>
      <w:rFonts w:ascii="Arial" w:hAnsi="Arial" w:eastAsia="Arial" w:cs="Arial"/>
      <w:sz w:val="34"/>
    </w:rPr>
  </w:style>
  <w:style w:type="paragraph" w:styleId="716">
    <w:name w:val="Heading 3"/>
    <w:basedOn w:val="890"/>
    <w:next w:val="890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7">
    <w:name w:val="Heading 3 Char"/>
    <w:link w:val="716"/>
    <w:uiPriority w:val="9"/>
    <w:rPr>
      <w:rFonts w:ascii="Arial" w:hAnsi="Arial" w:eastAsia="Arial" w:cs="Arial"/>
      <w:sz w:val="30"/>
      <w:szCs w:val="30"/>
    </w:rPr>
  </w:style>
  <w:style w:type="paragraph" w:styleId="718">
    <w:name w:val="Heading 4"/>
    <w:basedOn w:val="890"/>
    <w:next w:val="890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9">
    <w:name w:val="Heading 4 Char"/>
    <w:link w:val="718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90"/>
    <w:next w:val="890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link w:val="720"/>
    <w:uiPriority w:val="9"/>
    <w:rPr>
      <w:rFonts w:ascii="Arial" w:hAnsi="Arial" w:eastAsia="Arial" w:cs="Arial"/>
      <w:b/>
      <w:bCs/>
      <w:sz w:val="24"/>
      <w:szCs w:val="24"/>
    </w:rPr>
  </w:style>
  <w:style w:type="paragraph" w:styleId="722">
    <w:name w:val="Heading 6"/>
    <w:basedOn w:val="890"/>
    <w:next w:val="890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3">
    <w:name w:val="Heading 6 Char"/>
    <w:link w:val="722"/>
    <w:uiPriority w:val="9"/>
    <w:rPr>
      <w:rFonts w:ascii="Arial" w:hAnsi="Arial" w:eastAsia="Arial" w:cs="Arial"/>
      <w:b/>
      <w:bCs/>
      <w:sz w:val="22"/>
      <w:szCs w:val="22"/>
    </w:rPr>
  </w:style>
  <w:style w:type="paragraph" w:styleId="724">
    <w:name w:val="Heading 7"/>
    <w:basedOn w:val="890"/>
    <w:next w:val="890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5">
    <w:name w:val="Heading 7 Char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890"/>
    <w:next w:val="890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7">
    <w:name w:val="Heading 8 Char"/>
    <w:link w:val="726"/>
    <w:uiPriority w:val="9"/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890"/>
    <w:next w:val="890"/>
    <w:link w:val="7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>
    <w:name w:val="Heading 9 Char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List Paragraph"/>
    <w:basedOn w:val="890"/>
    <w:uiPriority w:val="34"/>
    <w:qFormat/>
    <w:pPr>
      <w:contextualSpacing/>
      <w:ind w:left="720"/>
    </w:p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90"/>
    <w:next w:val="890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link w:val="732"/>
    <w:uiPriority w:val="10"/>
    <w:rPr>
      <w:sz w:val="48"/>
      <w:szCs w:val="48"/>
    </w:rPr>
  </w:style>
  <w:style w:type="paragraph" w:styleId="734">
    <w:name w:val="Subtitle"/>
    <w:basedOn w:val="890"/>
    <w:next w:val="890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link w:val="734"/>
    <w:uiPriority w:val="11"/>
    <w:rPr>
      <w:sz w:val="24"/>
      <w:szCs w:val="24"/>
    </w:rPr>
  </w:style>
  <w:style w:type="paragraph" w:styleId="736">
    <w:name w:val="Quote"/>
    <w:basedOn w:val="890"/>
    <w:next w:val="890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90"/>
    <w:next w:val="890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paragraph" w:styleId="740">
    <w:name w:val="Header"/>
    <w:basedOn w:val="890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link w:val="740"/>
    <w:uiPriority w:val="99"/>
  </w:style>
  <w:style w:type="paragraph" w:styleId="742">
    <w:name w:val="Footer"/>
    <w:basedOn w:val="890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link w:val="742"/>
    <w:uiPriority w:val="99"/>
  </w:style>
  <w:style w:type="paragraph" w:styleId="744">
    <w:name w:val="Caption"/>
    <w:basedOn w:val="890"/>
    <w:next w:val="8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742"/>
    <w:uiPriority w:val="99"/>
  </w:style>
  <w:style w:type="table" w:styleId="74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next w:val="890"/>
    <w:link w:val="89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91">
    <w:name w:val="Заголовок 1"/>
    <w:basedOn w:val="890"/>
    <w:next w:val="890"/>
    <w:link w:val="89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92">
    <w:name w:val="Заголовок 2"/>
    <w:basedOn w:val="890"/>
    <w:next w:val="890"/>
    <w:link w:val="89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93">
    <w:name w:val="Основной шрифт абзаца"/>
    <w:next w:val="893"/>
    <w:link w:val="890"/>
    <w:uiPriority w:val="1"/>
    <w:semiHidden/>
    <w:unhideWhenUsed/>
  </w:style>
  <w:style w:type="table" w:styleId="894">
    <w:name w:val="Обычная таблица"/>
    <w:next w:val="894"/>
    <w:link w:val="890"/>
    <w:uiPriority w:val="99"/>
    <w:semiHidden/>
    <w:unhideWhenUsed/>
    <w:qFormat/>
    <w:tblPr/>
  </w:style>
  <w:style w:type="numbering" w:styleId="895">
    <w:name w:val="Нет списка"/>
    <w:next w:val="895"/>
    <w:link w:val="890"/>
    <w:uiPriority w:val="99"/>
    <w:semiHidden/>
    <w:unhideWhenUsed/>
  </w:style>
  <w:style w:type="character" w:styleId="896">
    <w:name w:val="Заголовок 1 Знак"/>
    <w:basedOn w:val="893"/>
    <w:next w:val="896"/>
    <w:link w:val="89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97">
    <w:name w:val="Заголовок 2 Знак"/>
    <w:basedOn w:val="893"/>
    <w:next w:val="897"/>
    <w:link w:val="89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98">
    <w:name w:val="Текст выноски"/>
    <w:basedOn w:val="890"/>
    <w:next w:val="898"/>
    <w:link w:val="89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9">
    <w:name w:val="Текст выноски Знак"/>
    <w:basedOn w:val="893"/>
    <w:next w:val="899"/>
    <w:link w:val="898"/>
    <w:uiPriority w:val="99"/>
    <w:semiHidden/>
    <w:rPr>
      <w:rFonts w:ascii="Tahoma" w:hAnsi="Tahoma" w:cs="Tahoma"/>
      <w:sz w:val="16"/>
      <w:szCs w:val="16"/>
    </w:rPr>
  </w:style>
  <w:style w:type="paragraph" w:styleId="900">
    <w:name w:val="Абзац списка"/>
    <w:basedOn w:val="890"/>
    <w:next w:val="900"/>
    <w:link w:val="890"/>
    <w:uiPriority w:val="34"/>
    <w:qFormat/>
    <w:pPr>
      <w:contextualSpacing/>
      <w:ind w:left="720"/>
    </w:pPr>
  </w:style>
  <w:style w:type="table" w:styleId="901">
    <w:name w:val="Сетка таблицы"/>
    <w:basedOn w:val="894"/>
    <w:next w:val="901"/>
    <w:link w:val="890"/>
    <w:uiPriority w:val="59"/>
    <w:pPr>
      <w:spacing w:after="0" w:line="240" w:lineRule="auto"/>
    </w:pPr>
    <w:tblPr/>
  </w:style>
  <w:style w:type="paragraph" w:styleId="902">
    <w:name w:val="Обычный (веб)"/>
    <w:basedOn w:val="890"/>
    <w:next w:val="902"/>
    <w:link w:val="89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03">
    <w:name w:val="Строгий"/>
    <w:basedOn w:val="893"/>
    <w:next w:val="903"/>
    <w:link w:val="890"/>
    <w:uiPriority w:val="22"/>
    <w:qFormat/>
    <w:rPr>
      <w:b/>
      <w:bCs/>
    </w:rPr>
  </w:style>
  <w:style w:type="paragraph" w:styleId="904">
    <w:name w:val="Верхний колонтитул"/>
    <w:basedOn w:val="890"/>
    <w:next w:val="904"/>
    <w:link w:val="90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5">
    <w:name w:val="Верхний колонтитул Знак"/>
    <w:basedOn w:val="893"/>
    <w:next w:val="905"/>
    <w:link w:val="904"/>
    <w:uiPriority w:val="99"/>
    <w:rPr>
      <w:sz w:val="22"/>
      <w:szCs w:val="22"/>
    </w:rPr>
  </w:style>
  <w:style w:type="paragraph" w:styleId="906">
    <w:name w:val="Нижний колонтитул"/>
    <w:basedOn w:val="890"/>
    <w:next w:val="906"/>
    <w:link w:val="90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07">
    <w:name w:val="Нижний колонтитул Знак"/>
    <w:basedOn w:val="893"/>
    <w:next w:val="907"/>
    <w:link w:val="906"/>
    <w:uiPriority w:val="99"/>
    <w:semiHidden/>
    <w:rPr>
      <w:sz w:val="22"/>
      <w:szCs w:val="22"/>
    </w:rPr>
  </w:style>
  <w:style w:type="paragraph" w:styleId="908">
    <w:name w:val="ConsPlusNormal"/>
    <w:next w:val="908"/>
    <w:link w:val="890"/>
    <w:rPr>
      <w:rFonts w:ascii="Times New Roman" w:hAnsi="Times New Roman"/>
      <w:sz w:val="28"/>
      <w:szCs w:val="28"/>
      <w:lang w:val="ru-RU" w:eastAsia="ru-RU" w:bidi="ar-SA"/>
    </w:rPr>
  </w:style>
  <w:style w:type="character" w:styleId="909">
    <w:name w:val="Гиперссылка"/>
    <w:basedOn w:val="893"/>
    <w:next w:val="909"/>
    <w:link w:val="890"/>
    <w:uiPriority w:val="99"/>
    <w:semiHidden/>
    <w:unhideWhenUsed/>
    <w:rPr>
      <w:color w:val="0000ff"/>
      <w:u w:val="single"/>
    </w:rPr>
  </w:style>
  <w:style w:type="character" w:styleId="910" w:default="1">
    <w:name w:val="Default Paragraph Font"/>
    <w:uiPriority w:val="1"/>
    <w:semiHidden/>
    <w:unhideWhenUsed/>
  </w:style>
  <w:style w:type="numbering" w:styleId="911" w:default="1">
    <w:name w:val="No List"/>
    <w:uiPriority w:val="99"/>
    <w:semiHidden/>
    <w:unhideWhenUsed/>
  </w:style>
  <w:style w:type="table" w:styleId="912" w:default="1">
    <w:name w:val="Normal Table"/>
    <w:uiPriority w:val="99"/>
    <w:semiHidden/>
    <w:unhideWhenUsed/>
    <w:tblPr/>
  </w:style>
  <w:style w:type="paragraph" w:styleId="913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4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5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152523&amp;date=08.10.2026&amp;dst=100088&amp;field=134" TargetMode="External"/><Relationship Id="rId13" Type="http://schemas.openxmlformats.org/officeDocument/2006/relationships/hyperlink" Target="https://login.consultant.ru/link/?req=doc&amp;base=LAW&amp;n=482878&amp;date=08.10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824</cp:revision>
  <dcterms:created xsi:type="dcterms:W3CDTF">2013-11-06T08:13:00Z</dcterms:created>
  <dcterms:modified xsi:type="dcterms:W3CDTF">2026-10-19T05:27:02Z</dcterms:modified>
  <cp:version>786432</cp:version>
</cp:coreProperties>
</file>