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&lt;Письмо&gt; Минпросвещения России от 17.09.2026 N 05-2170</w:t>
              <w:br/>
              <w:t xml:space="preserve">"О направлении методических указаний"</w:t>
              <w:br/>
              <w:t xml:space="preserve">(вместе с "Методическими указаниями по формированию вариативной части контрольных измерительных материалов, спецификации вариативной части контрольных измерительных материалов и критериев их оценивания для проведения демонстрационного экзамена профильного уровня")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ПИСЬМО</w:t>
      </w:r>
    </w:p>
    <w:p>
      <w:pPr>
        <w:pStyle w:val="2"/>
        <w:jc w:val="center"/>
      </w:pPr>
      <w:r>
        <w:rPr>
          <w:sz w:val="24"/>
        </w:rPr>
        <w:t xml:space="preserve">от 17 сентября 2026 г. N 05-2170</w:t>
      </w:r>
    </w:p>
    <w:p>
      <w:pPr>
        <w:pStyle w:val="2"/>
        <w:jc w:val="center"/>
      </w:pPr>
      <w:r>
        <w:rPr>
          <w:sz w:val="24"/>
        </w:rPr>
      </w:r>
    </w:p>
    <w:p>
      <w:pPr>
        <w:pStyle w:val="2"/>
        <w:jc w:val="center"/>
      </w:pPr>
      <w:r>
        <w:rPr>
          <w:sz w:val="24"/>
        </w:rPr>
        <w:t xml:space="preserve">О НАПРАВЛЕНИИ МЕТОДИЧЕСКИХ УКАЗАНИЙ</w:t>
      </w:r>
    </w:p>
    <w:p>
      <w:pPr>
        <w:pStyle w:val="0"/>
        <w:jc w:val="both"/>
      </w:pPr>
      <w:r>
        <w:rPr>
          <w:sz w:val="24"/>
        </w:rPr>
      </w:r>
    </w:p>
    <w:p>
      <w:pPr>
        <w:pStyle w:val="0"/>
        <w:ind w:firstLine="540"/>
        <w:jc w:val="both"/>
      </w:pPr>
      <w:r>
        <w:rPr>
          <w:sz w:val="24"/>
        </w:rPr>
        <w:t xml:space="preserve">Департамент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в целях реализации мероприятий по обеспечению методического сопровождения процедуры проведения аттестации по образовательным программам среднего профессионального образования в форме демонстрационного экзамена направляет для учета в работе </w:t>
      </w:r>
      <w:hyperlink w:history="0" w:anchor="P21" w:tooltip="МЕТОДИЧЕСКИЕ УКАЗАНИЯ">
        <w:r>
          <w:rPr>
            <w:sz w:val="24"/>
            <w:color w:val="0000ff"/>
          </w:rPr>
          <w:t xml:space="preserve">Методические указания</w:t>
        </w:r>
      </w:hyperlink>
      <w:r>
        <w:rPr>
          <w:sz w:val="24"/>
        </w:rPr>
        <w:t xml:space="preserve"> по формированию вариативной части контрольных измерительных материалов, спецификации вариативной части контрольных измерительных материалов и критериев их оценивания для проведения демонстрационного экзамена профильного уровня.</w:t>
      </w:r>
    </w:p>
    <w:p>
      <w:pPr>
        <w:pStyle w:val="0"/>
        <w:spacing w:before="240" w:lineRule="auto"/>
        <w:ind w:firstLine="540"/>
        <w:jc w:val="both"/>
      </w:pPr>
      <w:r>
        <w:rPr>
          <w:sz w:val="24"/>
        </w:rPr>
        <w:t xml:space="preserve">Указания разработаны в целях единого применения норм, установленных </w:t>
      </w:r>
      <w:hyperlink w:history="0" r:id="rId8"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пунктом 8</w:t>
        </w:r>
      </w:hyperlink>
      <w:r>
        <w:rPr>
          <w:sz w:val="24"/>
        </w:rPr>
        <w:t xml:space="preserve">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 утвержденного приказом Минпросвещения России от 16 апреля 2026 г. N 275 "Об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w:t>
      </w:r>
    </w:p>
    <w:p>
      <w:pPr>
        <w:pStyle w:val="0"/>
        <w:spacing w:before="240" w:lineRule="auto"/>
        <w:ind w:firstLine="540"/>
        <w:jc w:val="both"/>
      </w:pPr>
      <w:r>
        <w:rPr>
          <w:sz w:val="24"/>
        </w:rPr>
        <w:t xml:space="preserve">Дополнительно сообщаем, что в рамках Всероссийского образовательного марафона демонстрационного экзамена 10 сентября 2026 г. состоялся онлайн-брифинг "Принципы формирования вариативной части контрольных измерительных материалов" (подробная информация размещена в информационно-телекоммуникационной сети "Интернет" по ссылке: https://de.firpo.ru/o/mp/ob/vsm3).</w:t>
      </w:r>
    </w:p>
    <w:p>
      <w:pPr>
        <w:pStyle w:val="0"/>
        <w:jc w:val="both"/>
      </w:pPr>
      <w:r>
        <w:rPr>
          <w:sz w:val="24"/>
        </w:rPr>
      </w:r>
    </w:p>
    <w:p>
      <w:pPr>
        <w:pStyle w:val="0"/>
        <w:jc w:val="right"/>
      </w:pPr>
      <w:r>
        <w:rPr>
          <w:sz w:val="24"/>
        </w:rPr>
        <w:t xml:space="preserve">И.о. директора Департамента</w:t>
      </w:r>
    </w:p>
    <w:p>
      <w:pPr>
        <w:pStyle w:val="0"/>
        <w:jc w:val="right"/>
      </w:pPr>
      <w:r>
        <w:rPr>
          <w:sz w:val="24"/>
        </w:rPr>
        <w:t xml:space="preserve">М.И.СОФРОНОВА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bookmarkStart w:id="21" w:name="P21"/>
    <w:bookmarkEnd w:id="21"/>
    <w:p>
      <w:pPr>
        <w:pStyle w:val="2"/>
        <w:jc w:val="center"/>
      </w:pPr>
      <w:r>
        <w:rPr>
          <w:sz w:val="24"/>
        </w:rPr>
        <w:t xml:space="preserve">МЕТОДИЧЕСКИЕ УКАЗАНИЯ</w:t>
      </w:r>
    </w:p>
    <w:p>
      <w:pPr>
        <w:pStyle w:val="2"/>
        <w:jc w:val="center"/>
      </w:pPr>
      <w:r>
        <w:rPr>
          <w:sz w:val="24"/>
        </w:rPr>
        <w:t xml:space="preserve">ПО ФОРМИРОВАНИЮ ВАРИАТИВНОЙ ЧАСТИ КОНТРОЛЬНЫХ</w:t>
      </w:r>
    </w:p>
    <w:p>
      <w:pPr>
        <w:pStyle w:val="2"/>
        <w:jc w:val="center"/>
      </w:pPr>
      <w:r>
        <w:rPr>
          <w:sz w:val="24"/>
        </w:rPr>
        <w:t xml:space="preserve">ИЗМЕРИТЕЛЬНЫХ МАТЕРИАЛОВ, СПЕЦИФИКАЦИИ ВАРИАТИВНОЙ</w:t>
      </w:r>
    </w:p>
    <w:p>
      <w:pPr>
        <w:pStyle w:val="2"/>
        <w:jc w:val="center"/>
      </w:pPr>
      <w:r>
        <w:rPr>
          <w:sz w:val="24"/>
        </w:rPr>
        <w:t xml:space="preserve">ЧАСТИ КОНТРОЛЬНЫХ ИЗМЕРИТЕЛЬНЫХ МАТЕРИАЛОВ И КРИТЕРИЕВ</w:t>
      </w:r>
    </w:p>
    <w:p>
      <w:pPr>
        <w:pStyle w:val="2"/>
        <w:jc w:val="center"/>
      </w:pPr>
      <w:r>
        <w:rPr>
          <w:sz w:val="24"/>
        </w:rPr>
        <w:t xml:space="preserve">ИХ ОЦЕНИВАНИЯ ДЛЯ ПРОВЕДЕНИЯ ДЕМОНСТРАЦИОННОГО ЭКЗАМЕНА</w:t>
      </w:r>
    </w:p>
    <w:p>
      <w:pPr>
        <w:pStyle w:val="2"/>
        <w:jc w:val="center"/>
      </w:pPr>
      <w:r>
        <w:rPr>
          <w:sz w:val="24"/>
        </w:rPr>
        <w:t xml:space="preserve">ПРОФИЛЬНОГО УРОВНЯ</w:t>
      </w:r>
    </w:p>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Настоящие Методические указания по формированию вариативной части контрольных измерительных материалов, спецификации вариативной части контрольных измерительных материалов и критериев их оценивания для проведения демонстрационного экзамена профильного уровня (далее - Указания) носят рекомендательный характер и разработаны в целях методического обеспечения деятельности образовательных организаций, реализующих образовательные программы среднего профессионального образования, и иных участников процедуры формирования вариативной части контрольных измерительных материалов, спецификации вариативной части контрольных измерительных материалов и критериев их оценивания (далее вместе - ВЧ КИМ) для проведения государственной итоговой аттестации по образовательным программам среднего профессионального образования (далее - ГИА) в форме демонстрационного экзамена (далее - ДЭ) профильного уровня.</w:t>
      </w:r>
    </w:p>
    <w:p>
      <w:pPr>
        <w:pStyle w:val="0"/>
        <w:spacing w:before="240" w:lineRule="auto"/>
        <w:ind w:firstLine="540"/>
        <w:jc w:val="both"/>
      </w:pPr>
      <w:r>
        <w:rPr>
          <w:sz w:val="24"/>
        </w:rPr>
        <w:t xml:space="preserve">Указания предназначены для:</w:t>
      </w:r>
    </w:p>
    <w:p>
      <w:pPr>
        <w:pStyle w:val="0"/>
        <w:spacing w:before="240" w:lineRule="auto"/>
        <w:ind w:firstLine="540"/>
        <w:jc w:val="both"/>
      </w:pPr>
      <w:r>
        <w:rPr>
          <w:sz w:val="24"/>
        </w:rPr>
        <w:t xml:space="preserve">- образовательных организаций, реализующих образовательные программы среднего профессионального образования (далее - СПО) в форме профессионалитета, образовательные программы СПО, включающие квалификационные требования, заявленные работодателями;</w:t>
      </w:r>
    </w:p>
    <w:p>
      <w:pPr>
        <w:pStyle w:val="0"/>
        <w:spacing w:before="240" w:lineRule="auto"/>
        <w:ind w:firstLine="540"/>
        <w:jc w:val="both"/>
      </w:pPr>
      <w:r>
        <w:rPr>
          <w:sz w:val="24"/>
        </w:rPr>
        <w:t xml:space="preserve">- исполнительных органов субъектов Российской Федерации, осуществляющих государственное управление в сфере образования (далее - РОИВ), и организаций, определенных РОИВ для взаимодействия с оператором демонстрационного экзамена, координации образовательных организаций и их взаимодействия с государственными экзаменационными комиссиями, с работодателями и иными лицами, задействованными в подготовке и проведении ДЭ (далее - РО);</w:t>
      </w:r>
    </w:p>
    <w:p>
      <w:pPr>
        <w:pStyle w:val="0"/>
        <w:spacing w:before="240" w:lineRule="auto"/>
        <w:ind w:firstLine="540"/>
        <w:jc w:val="both"/>
      </w:pPr>
      <w:r>
        <w:rPr>
          <w:sz w:val="24"/>
        </w:rPr>
        <w:t xml:space="preserve">- заинтересованных работодателей.</w:t>
      </w:r>
    </w:p>
    <w:p>
      <w:pPr>
        <w:pStyle w:val="0"/>
        <w:spacing w:before="240" w:lineRule="auto"/>
        <w:ind w:firstLine="540"/>
        <w:jc w:val="both"/>
      </w:pPr>
      <w:r>
        <w:rPr>
          <w:sz w:val="24"/>
        </w:rPr>
        <w:t xml:space="preserve">Цель формирования ВЧ КИМ - обеспечение возможности проведения ГИА в форме ДЭ профильного уровня образовательными организациями для учета квалификационных требований работодателей и специфики основных профессиональных образовательных программ СПО (далее - ОПОП СПО).</w:t>
      </w:r>
    </w:p>
    <w:p>
      <w:pPr>
        <w:pStyle w:val="0"/>
        <w:jc w:val="both"/>
      </w:pPr>
      <w:r>
        <w:rPr>
          <w:sz w:val="24"/>
        </w:rPr>
      </w:r>
    </w:p>
    <w:p>
      <w:pPr>
        <w:pStyle w:val="2"/>
        <w:outlineLvl w:val="1"/>
        <w:jc w:val="center"/>
      </w:pPr>
      <w:r>
        <w:rPr>
          <w:sz w:val="24"/>
        </w:rPr>
        <w:t xml:space="preserve">2. Основные положения нормативных правовых актов и термины</w:t>
      </w:r>
    </w:p>
    <w:p>
      <w:pPr>
        <w:pStyle w:val="0"/>
        <w:jc w:val="both"/>
      </w:pPr>
      <w:r>
        <w:rPr>
          <w:sz w:val="24"/>
        </w:rPr>
      </w:r>
    </w:p>
    <w:p>
      <w:pPr>
        <w:pStyle w:val="0"/>
        <w:ind w:firstLine="540"/>
        <w:jc w:val="both"/>
      </w:pPr>
      <w:r>
        <w:rPr>
          <w:sz w:val="24"/>
        </w:rPr>
        <w:t xml:space="preserve">Указания разработаны в соответствии с нижеследующими нормативными правовыми актами:</w:t>
      </w:r>
    </w:p>
    <w:p>
      <w:pPr>
        <w:pStyle w:val="0"/>
        <w:spacing w:before="240" w:lineRule="auto"/>
        <w:ind w:firstLine="540"/>
        <w:jc w:val="both"/>
      </w:pPr>
      <w:r>
        <w:rPr>
          <w:sz w:val="24"/>
        </w:rPr>
        <w:t xml:space="preserve">1. Федеральный </w:t>
      </w:r>
      <w:hyperlink w:history="0" r:id="rId9"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w:t>
        </w:r>
      </w:hyperlink>
      <w:r>
        <w:rPr>
          <w:sz w:val="24"/>
        </w:rPr>
        <w:t xml:space="preserve"> от 29 декабря 2012 г. N 273-ФЗ "Об образовании в Российской Федерации" (в редакции от 23 июля 2025 г.) (далее - Федеральный закон N 273-ФЗ).</w:t>
      </w:r>
    </w:p>
    <w:p>
      <w:pPr>
        <w:pStyle w:val="0"/>
        <w:spacing w:before="240" w:lineRule="auto"/>
        <w:ind w:firstLine="540"/>
        <w:jc w:val="both"/>
      </w:pPr>
      <w:hyperlink w:history="0" r:id="rId10"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Частью 13.1 статьи 59</w:t>
        </w:r>
      </w:hyperlink>
      <w:r>
        <w:rPr>
          <w:sz w:val="24"/>
        </w:rPr>
        <w:t xml:space="preserve"> Федерального закона N 273-ФЗ установлено, что ГИА проводится в форме ДЭ, за исключением отдельных образовательных программ в области искусств, медицинского и фармацевтического образования, а также программ в интересах обороны и безопасности государства, и для обучающихся в специальных учебно-воспитательных учреждениях закрытого типа и учреждениях, исполняющих наказание.</w:t>
      </w:r>
    </w:p>
    <w:p>
      <w:pPr>
        <w:pStyle w:val="0"/>
        <w:spacing w:before="240" w:lineRule="auto"/>
        <w:ind w:firstLine="540"/>
        <w:jc w:val="both"/>
      </w:pPr>
      <w:r>
        <w:rPr>
          <w:sz w:val="24"/>
        </w:rPr>
        <w:t xml:space="preserve">2. </w:t>
      </w:r>
      <w:hyperlink w:history="0" r:id="rId11" w:tooltip="Приказ Минпросвещения России от 08.11.2021 N 800 (ред. от 22.05.2026)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7.12.2021 N 66211) {КонсультантПлюс}">
        <w:r>
          <w:rPr>
            <w:sz w:val="24"/>
            <w:color w:val="0000ff"/>
          </w:rPr>
          <w:t xml:space="preserve">Порядок</w:t>
        </w:r>
      </w:hyperlink>
      <w:r>
        <w:rPr>
          <w:sz w:val="24"/>
        </w:rPr>
        <w:t xml:space="preserve"> проведения государственной итоговой аттестации по образовательным программам среднего профессионального образования, утвержденный приказом Минпросвещения России от 8 ноября 2021 г. N 800 (в редакции от 22 мая 2026 г.) (далее - Порядок ГИА).</w:t>
      </w:r>
    </w:p>
    <w:p>
      <w:pPr>
        <w:pStyle w:val="0"/>
        <w:spacing w:before="240" w:lineRule="auto"/>
        <w:ind w:firstLine="540"/>
        <w:jc w:val="both"/>
      </w:pPr>
      <w:r>
        <w:rPr>
          <w:sz w:val="24"/>
        </w:rPr>
        <w:t xml:space="preserve">В соответствии с </w:t>
      </w:r>
      <w:hyperlink w:history="0" r:id="rId12" w:tooltip="Приказ Минпросвещения России от 08.11.2021 N 800 (ред. от 22.05.2026)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7.12.2021 N 66211) {КонсультантПлюс}">
        <w:r>
          <w:rPr>
            <w:sz w:val="24"/>
            <w:color w:val="0000ff"/>
          </w:rPr>
          <w:t xml:space="preserve">пунктом 9</w:t>
        </w:r>
      </w:hyperlink>
      <w:r>
        <w:rPr>
          <w:sz w:val="24"/>
        </w:rPr>
        <w:t xml:space="preserve"> Порядка ГИА ДЭ проводится по двум уровням:</w:t>
      </w:r>
    </w:p>
    <w:p>
      <w:pPr>
        <w:pStyle w:val="0"/>
        <w:spacing w:before="240" w:lineRule="auto"/>
        <w:ind w:firstLine="540"/>
        <w:jc w:val="both"/>
      </w:pPr>
      <w:r>
        <w:rPr>
          <w:sz w:val="24"/>
        </w:rPr>
        <w:t xml:space="preserve">- ДЭ базового уровня проводится на основе требований к результатам освоения образовательных программ СПО, установленных федеральными государственными образовательными стандартами СПО (далее - ФГОС СПО);</w:t>
      </w:r>
    </w:p>
    <w:p>
      <w:pPr>
        <w:pStyle w:val="0"/>
        <w:spacing w:before="240" w:lineRule="auto"/>
        <w:ind w:firstLine="540"/>
        <w:jc w:val="both"/>
      </w:pPr>
      <w:r>
        <w:rPr>
          <w:sz w:val="24"/>
        </w:rPr>
        <w:t xml:space="preserve">- ДЭ профильного уровня проводится по образовательным программам СПО, реализуемым в форме профессионалитета, на основе требований к результатам освоения образовательных программ СПО, установленных в соответствии с ФГОС СПО, включая квалификационные требования, заявленные работодателями.</w:t>
      </w:r>
    </w:p>
    <w:p>
      <w:pPr>
        <w:pStyle w:val="0"/>
        <w:spacing w:before="240" w:lineRule="auto"/>
        <w:ind w:firstLine="540"/>
        <w:jc w:val="both"/>
      </w:pPr>
      <w:r>
        <w:rPr>
          <w:sz w:val="24"/>
        </w:rPr>
        <w:t xml:space="preserve">Согласно </w:t>
      </w:r>
      <w:hyperlink w:history="0" r:id="rId13" w:tooltip="Приказ Минпросвещения России от 08.11.2021 N 800 (ред. от 22.05.2026)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7.12.2021 N 66211) {КонсультантПлюс}">
        <w:r>
          <w:rPr>
            <w:sz w:val="24"/>
            <w:color w:val="0000ff"/>
          </w:rPr>
          <w:t xml:space="preserve">пункту 19</w:t>
        </w:r>
      </w:hyperlink>
      <w:r>
        <w:rPr>
          <w:sz w:val="24"/>
        </w:rPr>
        <w:t xml:space="preserve"> Порядка ГИА ДЭ проводится с использованием контрольных измерительных материалов, представляющих собой комплексы заданий стандартизированной формы (далее - КИМ).</w:t>
      </w:r>
    </w:p>
    <w:p>
      <w:pPr>
        <w:pStyle w:val="0"/>
        <w:spacing w:before="240" w:lineRule="auto"/>
        <w:ind w:firstLine="540"/>
        <w:jc w:val="both"/>
      </w:pPr>
      <w:r>
        <w:rPr>
          <w:sz w:val="24"/>
        </w:rPr>
        <w:t xml:space="preserve">КИМ сопровождаются спецификацией КИМ, размещаемой в информационно-телекоммуникационной сети "Интернет" федеральным оператором, ежегодно до 1 сентября, предшествующего году их использования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Публикация разработанных спецификаций инвариантной части КИМ для использования в 2027 году организуется в срок не позднее 1 октября 2026 года.</w:t>
      </w:r>
    </w:p>
    <w:p>
      <w:pPr>
        <w:pStyle w:val="0"/>
        <w:jc w:val="both"/>
      </w:pPr>
      <w:r>
        <w:rPr>
          <w:sz w:val="24"/>
        </w:rPr>
      </w:r>
    </w:p>
    <w:p>
      <w:pPr>
        <w:pStyle w:val="0"/>
        <w:ind w:firstLine="540"/>
        <w:jc w:val="both"/>
      </w:pPr>
      <w:r>
        <w:rPr>
          <w:sz w:val="24"/>
        </w:rPr>
        <w:t xml:space="preserve">3. </w:t>
      </w:r>
      <w:hyperlink w:history="0" r:id="rId14"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Порядок</w:t>
        </w:r>
      </w:hyperlink>
      <w:r>
        <w:rPr>
          <w:sz w:val="24"/>
        </w:rPr>
        <w:t xml:space="preserve">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 утвержденный приказом Минпросвещения России от 16 апреля 2026 г. N 275 (далее - Порядок КИМ).</w:t>
      </w:r>
    </w:p>
    <w:p>
      <w:pPr>
        <w:pStyle w:val="0"/>
        <w:spacing w:before="240" w:lineRule="auto"/>
        <w:ind w:firstLine="540"/>
        <w:jc w:val="both"/>
      </w:pPr>
      <w:r>
        <w:rPr>
          <w:sz w:val="24"/>
        </w:rPr>
        <w:t xml:space="preserve">Согласно </w:t>
      </w:r>
      <w:hyperlink w:history="0" r:id="rId15"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пункту 2</w:t>
        </w:r>
      </w:hyperlink>
      <w:r>
        <w:rPr>
          <w:sz w:val="24"/>
        </w:rPr>
        <w:t xml:space="preserve"> Порядка КИМ, КИМ для проведения ДЭ профильного уровня включают в себя инвариантную и вариативную части.</w:t>
      </w:r>
    </w:p>
    <w:p>
      <w:pPr>
        <w:pStyle w:val="0"/>
        <w:spacing w:before="240" w:lineRule="auto"/>
        <w:ind w:firstLine="540"/>
        <w:jc w:val="both"/>
      </w:pPr>
      <w:r>
        <w:rPr>
          <w:sz w:val="24"/>
        </w:rPr>
        <w:t xml:space="preserve">Удельный вес критериев оценивания выполнения заданий инвариантной части КИМ в общей системе оценивания составляет 75 процентов, вариативной части - 25 процентов.</w:t>
      </w:r>
    </w:p>
    <w:p>
      <w:pPr>
        <w:pStyle w:val="0"/>
        <w:spacing w:before="240" w:lineRule="auto"/>
        <w:ind w:firstLine="540"/>
        <w:jc w:val="both"/>
      </w:pPr>
      <w:r>
        <w:rPr>
          <w:sz w:val="24"/>
        </w:rPr>
        <w:t xml:space="preserve">В соответствии с </w:t>
      </w:r>
      <w:hyperlink w:history="0" r:id="rId16"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пунктом 3</w:t>
        </w:r>
      </w:hyperlink>
      <w:r>
        <w:rPr>
          <w:sz w:val="24"/>
        </w:rPr>
        <w:t xml:space="preserve"> Порядка КИМ, КИМ для проведения ДЭ базового уровня являются инвариантной частью КИМ для проведения ДЭ профильного уровня.</w:t>
      </w:r>
    </w:p>
    <w:p>
      <w:pPr>
        <w:pStyle w:val="0"/>
        <w:spacing w:before="240" w:lineRule="auto"/>
        <w:ind w:firstLine="540"/>
        <w:jc w:val="both"/>
      </w:pPr>
      <w:r>
        <w:rPr>
          <w:sz w:val="24"/>
        </w:rPr>
        <w:t xml:space="preserve">В соответствии с </w:t>
      </w:r>
      <w:hyperlink w:history="0" r:id="rId17"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пунктом 4</w:t>
        </w:r>
      </w:hyperlink>
      <w:r>
        <w:rPr>
          <w:sz w:val="24"/>
        </w:rPr>
        <w:t xml:space="preserve"> Порядка КИМ спецификация КИМ включает в себя комплекс основных характеристик для проведения ДЭ, перечень оборудования и оснащения, расходных материалов, средств обучения и воспитания, примерный план застройки площадки ДЭ, условия привлечения экспертов, условия привлечения добровольцев (волонтеров) (при необходимости), инструкции по технике безопасности, образцы заданий.</w:t>
      </w:r>
    </w:p>
    <w:p>
      <w:pPr>
        <w:pStyle w:val="0"/>
        <w:spacing w:before="240" w:lineRule="auto"/>
        <w:ind w:firstLine="540"/>
        <w:jc w:val="both"/>
      </w:pPr>
      <w:r>
        <w:rPr>
          <w:sz w:val="24"/>
        </w:rPr>
        <w:t xml:space="preserve">Рекомендуемая форма спецификации ВЧ КИМ представлена в </w:t>
      </w:r>
      <w:hyperlink w:history="0" w:anchor="P179" w:tooltip="ФОРМА СПЕЦИФИКАЦИИ КИМ ДЭ ТОМ 2 (ВАРИАТИВНАЯ ЧАСТЬ)">
        <w:r>
          <w:rPr>
            <w:sz w:val="24"/>
            <w:color w:val="0000ff"/>
          </w:rPr>
          <w:t xml:space="preserve">приложении 1</w:t>
        </w:r>
      </w:hyperlink>
      <w:r>
        <w:rPr>
          <w:sz w:val="24"/>
        </w:rPr>
        <w:t xml:space="preserve"> к настоящим Указаниям. Спецификация ВЧ КИМ включает аналогичные разделы спецификации инвариантной части КИМ, с учетом дополнений, необходимых для выполнения заданий вариативной части.</w:t>
      </w:r>
    </w:p>
    <w:p>
      <w:pPr>
        <w:pStyle w:val="0"/>
        <w:spacing w:before="240" w:lineRule="auto"/>
        <w:ind w:firstLine="540"/>
        <w:jc w:val="both"/>
      </w:pPr>
      <w:r>
        <w:rPr>
          <w:sz w:val="24"/>
        </w:rPr>
        <w:t xml:space="preserve">Разработанные спецификации КИМ (инвариантная часть) публикуются в Банке оценочных материалов/Банке КИМ - на сайте федерального оператора в информационно-коммуникационной сети "Интернет" по адресу: https://bom.firpo.ru/.</w:t>
      </w:r>
    </w:p>
    <w:p>
      <w:pPr>
        <w:pStyle w:val="0"/>
        <w:spacing w:before="240" w:lineRule="auto"/>
        <w:ind w:firstLine="540"/>
        <w:jc w:val="both"/>
      </w:pPr>
      <w:r>
        <w:rPr>
          <w:sz w:val="24"/>
        </w:rPr>
        <w:t xml:space="preserve">Банк оценочных материалов/Банк КИМ выполняет следующие функции:</w:t>
      </w:r>
    </w:p>
    <w:p>
      <w:pPr>
        <w:pStyle w:val="0"/>
        <w:spacing w:before="240" w:lineRule="auto"/>
        <w:ind w:firstLine="540"/>
        <w:jc w:val="both"/>
      </w:pPr>
      <w:r>
        <w:rPr>
          <w:sz w:val="24"/>
        </w:rPr>
        <w:t xml:space="preserve">- является единым официальным источником утвержденных комплектов оценочной документации/спецификаций КИМ (инвариантная часть);</w:t>
      </w:r>
    </w:p>
    <w:p>
      <w:pPr>
        <w:pStyle w:val="0"/>
        <w:spacing w:before="240" w:lineRule="auto"/>
        <w:ind w:firstLine="540"/>
        <w:jc w:val="both"/>
      </w:pPr>
      <w:r>
        <w:rPr>
          <w:sz w:val="24"/>
        </w:rPr>
        <w:t xml:space="preserve">- обеспечивает свободный доступ к опубликованным материалам для образовательных организаций, центров проведения ДЭ, экспертов и иных заинтересованных лиц;</w:t>
      </w:r>
    </w:p>
    <w:p>
      <w:pPr>
        <w:pStyle w:val="0"/>
        <w:spacing w:before="240" w:lineRule="auto"/>
        <w:ind w:firstLine="540"/>
        <w:jc w:val="both"/>
      </w:pPr>
      <w:r>
        <w:rPr>
          <w:sz w:val="24"/>
        </w:rPr>
        <w:t xml:space="preserve">- предоставляет возможность поиска и просмотра комплектов оценочной документации/спецификаций КИМ (инвариантная часть) в открытом доступе.</w:t>
      </w:r>
    </w:p>
    <w:p>
      <w:pPr>
        <w:pStyle w:val="0"/>
        <w:jc w:val="both"/>
      </w:pPr>
      <w:r>
        <w:rPr>
          <w:sz w:val="24"/>
        </w:rPr>
      </w:r>
    </w:p>
    <w:p>
      <w:pPr>
        <w:pStyle w:val="2"/>
        <w:outlineLvl w:val="1"/>
        <w:jc w:val="center"/>
      </w:pPr>
      <w:r>
        <w:rPr>
          <w:sz w:val="24"/>
        </w:rPr>
        <w:t xml:space="preserve">3. Участники формирования вариативной части КИМ</w:t>
      </w:r>
    </w:p>
    <w:p>
      <w:pPr>
        <w:pStyle w:val="0"/>
        <w:jc w:val="both"/>
      </w:pPr>
      <w:r>
        <w:rPr>
          <w:sz w:val="24"/>
        </w:rPr>
      </w:r>
    </w:p>
    <w:p>
      <w:pPr>
        <w:pStyle w:val="0"/>
        <w:ind w:firstLine="540"/>
        <w:jc w:val="both"/>
      </w:pPr>
      <w:r>
        <w:rPr>
          <w:sz w:val="24"/>
        </w:rPr>
        <w:t xml:space="preserve">1. Минпросвещения России осуществляет:</w:t>
      </w:r>
    </w:p>
    <w:p>
      <w:pPr>
        <w:pStyle w:val="0"/>
        <w:spacing w:before="240" w:lineRule="auto"/>
        <w:ind w:firstLine="540"/>
        <w:jc w:val="both"/>
      </w:pPr>
      <w:r>
        <w:rPr>
          <w:sz w:val="24"/>
        </w:rPr>
        <w:t xml:space="preserve">- организацию разработки КИМ для проведения ГИА в форме ДЭ и критериев их оценивания (</w:t>
      </w:r>
      <w:hyperlink w:history="0" r:id="rId18"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 13.2 статьи 59</w:t>
        </w:r>
      </w:hyperlink>
      <w:r>
        <w:rPr>
          <w:sz w:val="24"/>
        </w:rPr>
        <w:t xml:space="preserve"> Федерального закона N 273-ФЗ);</w:t>
      </w:r>
    </w:p>
    <w:p>
      <w:pPr>
        <w:pStyle w:val="0"/>
        <w:spacing w:before="240" w:lineRule="auto"/>
        <w:ind w:firstLine="540"/>
        <w:jc w:val="both"/>
      </w:pPr>
      <w:r>
        <w:rPr>
          <w:sz w:val="24"/>
        </w:rPr>
        <w:t xml:space="preserve">- обеспечение КИМ государственных экзаменационных комиссий (</w:t>
      </w:r>
      <w:hyperlink w:history="0" r:id="rId19"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 13.2 статьи 59</w:t>
        </w:r>
      </w:hyperlink>
      <w:r>
        <w:rPr>
          <w:sz w:val="24"/>
        </w:rPr>
        <w:t xml:space="preserve"> Федерального закона N 273-ФЗ);</w:t>
      </w:r>
    </w:p>
    <w:p>
      <w:pPr>
        <w:pStyle w:val="0"/>
        <w:spacing w:before="240" w:lineRule="auto"/>
        <w:ind w:firstLine="540"/>
        <w:jc w:val="both"/>
      </w:pPr>
      <w:r>
        <w:rPr>
          <w:sz w:val="24"/>
        </w:rPr>
        <w:t xml:space="preserve">- установление порядка разработки, использования и хранения КИМ для проведения ГИА в форме ДЭ (</w:t>
      </w:r>
      <w:hyperlink w:history="0" r:id="rId20"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 13.3 статьи 59</w:t>
        </w:r>
      </w:hyperlink>
      <w:r>
        <w:rPr>
          <w:sz w:val="24"/>
        </w:rPr>
        <w:t xml:space="preserve"> Федерального закона N 273-ФЗ);</w:t>
      </w:r>
    </w:p>
    <w:p>
      <w:pPr>
        <w:pStyle w:val="0"/>
        <w:spacing w:before="240" w:lineRule="auto"/>
        <w:ind w:firstLine="540"/>
        <w:jc w:val="both"/>
      </w:pPr>
      <w:r>
        <w:rPr>
          <w:sz w:val="24"/>
        </w:rPr>
        <w:t xml:space="preserve">- ежегодную организацию публикации в свободном доступе разработанных спецификаций инвариантной части КИМ на информационном ресурсе федерального оператора.</w:t>
      </w:r>
    </w:p>
    <w:p>
      <w:pPr>
        <w:pStyle w:val="0"/>
        <w:spacing w:before="240" w:lineRule="auto"/>
        <w:ind w:firstLine="540"/>
        <w:jc w:val="both"/>
      </w:pPr>
      <w:r>
        <w:rPr>
          <w:sz w:val="24"/>
        </w:rPr>
        <w:t xml:space="preserve">2. Федеральный оператор &lt;2&gt; осуществляет: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В соответствии с </w:t>
      </w:r>
      <w:hyperlink w:history="0" r:id="rId21"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 4</w:t>
        </w:r>
      </w:hyperlink>
      <w:r>
        <w:rPr>
          <w:sz w:val="24"/>
        </w:rPr>
        <w:t xml:space="preserve"> Порядка КИМ федеральным оператором определено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 (далее - ФГБОУ ДПО ИРПО).</w:t>
      </w:r>
    </w:p>
    <w:p>
      <w:pPr>
        <w:pStyle w:val="0"/>
        <w:jc w:val="both"/>
      </w:pPr>
      <w:r>
        <w:rPr>
          <w:sz w:val="24"/>
        </w:rPr>
      </w:r>
    </w:p>
    <w:p>
      <w:pPr>
        <w:pStyle w:val="0"/>
        <w:ind w:firstLine="540"/>
        <w:jc w:val="both"/>
      </w:pPr>
      <w:r>
        <w:rPr>
          <w:sz w:val="24"/>
        </w:rPr>
        <w:t xml:space="preserve">- разработку КИМ, спецификаций КИМ и критериев их оценивания для проведения ДЭ базового уровня и обеспечивает публикацию разработанных спецификаций инвариантной части КИМ на официальном сайте федерального оператора;</w:t>
      </w:r>
    </w:p>
    <w:p>
      <w:pPr>
        <w:pStyle w:val="0"/>
        <w:spacing w:before="240" w:lineRule="auto"/>
        <w:ind w:firstLine="540"/>
        <w:jc w:val="both"/>
      </w:pPr>
      <w:r>
        <w:rPr>
          <w:sz w:val="24"/>
        </w:rPr>
        <w:t xml:space="preserve">- обеспечение функционирования информационной системы для формирования ВЧ КИМ с предоставлением параметров доступа ответственным в субъектах Российской Федерации лицам.</w:t>
      </w:r>
    </w:p>
    <w:p>
      <w:pPr>
        <w:pStyle w:val="0"/>
        <w:spacing w:before="240" w:lineRule="auto"/>
        <w:ind w:firstLine="540"/>
        <w:jc w:val="both"/>
      </w:pPr>
      <w:r>
        <w:rPr>
          <w:sz w:val="24"/>
        </w:rPr>
        <w:t xml:space="preserve">3. РОИВ рекомендуется:</w:t>
      </w:r>
    </w:p>
    <w:p>
      <w:pPr>
        <w:pStyle w:val="0"/>
        <w:spacing w:before="240" w:lineRule="auto"/>
        <w:ind w:firstLine="540"/>
        <w:jc w:val="both"/>
      </w:pPr>
      <w:r>
        <w:rPr>
          <w:sz w:val="24"/>
        </w:rPr>
        <w:t xml:space="preserve">- определить ответственное лицо для работы в информационной системе ФГБОУ ДПО ИРПО по формированию ВЧ КИМ (далее - Конструктор ВЧ КИМ) для проведения ДЭ профильного уровня в субъекте Российской Федерации (далее - региональный модератор). Региональным модератором может быть определен представитель РО;</w:t>
      </w:r>
    </w:p>
    <w:p>
      <w:pPr>
        <w:pStyle w:val="0"/>
        <w:spacing w:before="240" w:lineRule="auto"/>
        <w:ind w:firstLine="540"/>
        <w:jc w:val="both"/>
      </w:pPr>
      <w:r>
        <w:rPr>
          <w:sz w:val="24"/>
        </w:rPr>
        <w:t xml:space="preserve">- определить модели формирования ВЧ КИМ в субъекте Российской Федерации в соответствии с </w:t>
      </w:r>
      <w:hyperlink w:history="0" w:anchor="P100" w:tooltip="4.2. Модели формирования ВЧ КИМ">
        <w:r>
          <w:rPr>
            <w:sz w:val="24"/>
            <w:color w:val="0000ff"/>
          </w:rPr>
          <w:t xml:space="preserve">пунктом 4.2</w:t>
        </w:r>
      </w:hyperlink>
      <w:r>
        <w:rPr>
          <w:sz w:val="24"/>
        </w:rPr>
        <w:t xml:space="preserve"> Указаний;</w:t>
      </w:r>
    </w:p>
    <w:p>
      <w:pPr>
        <w:pStyle w:val="0"/>
        <w:spacing w:before="240" w:lineRule="auto"/>
        <w:ind w:firstLine="540"/>
        <w:jc w:val="both"/>
      </w:pPr>
      <w:r>
        <w:rPr>
          <w:sz w:val="24"/>
        </w:rPr>
        <w:t xml:space="preserve">- информировать образовательные организации о наличии ВЧ КИМ, предлагаемой к использованию для проведения ДЭ профильного уровня в случае выбора модели N 2, описанной в </w:t>
      </w:r>
      <w:hyperlink w:history="0" w:anchor="P103" w:tooltip="Модель N 2 - &quot;Формирование универсальной ВЧ КИМ&quot;. Предлагаемая модель предполагает формирование ВЧ КИМ по инициативе РОИВ для применения образовательными организациями субъекта Российской Федерации, реализующими соответствующие образовательные программы СПО. Сформированная в рамках данной модели ВЧ КИМ может быть использована образовательными организациями в качестве готового решения при проведении ДЭ профильного уровня (далее - универсальная ВЧ КИМ) &lt;3&gt;.">
        <w:r>
          <w:rPr>
            <w:sz w:val="24"/>
            <w:color w:val="0000ff"/>
          </w:rPr>
          <w:t xml:space="preserve">пункте 4.2</w:t>
        </w:r>
      </w:hyperlink>
      <w:r>
        <w:rPr>
          <w:sz w:val="24"/>
        </w:rPr>
        <w:t xml:space="preserve"> Указаний;</w:t>
      </w:r>
    </w:p>
    <w:p>
      <w:pPr>
        <w:pStyle w:val="0"/>
        <w:spacing w:before="240" w:lineRule="auto"/>
        <w:ind w:firstLine="540"/>
        <w:jc w:val="both"/>
      </w:pPr>
      <w:r>
        <w:rPr>
          <w:sz w:val="24"/>
        </w:rPr>
        <w:t xml:space="preserve">- осуществлять сбор сведений для предоставления доступа образовательным организациям к Конструктору ВЧ КИМ в случае выбора модели N 1, описанной в </w:t>
      </w:r>
      <w:hyperlink w:history="0" w:anchor="P102" w:tooltip="Модель N 1 - &quot;Формирование уникальной ВЧ КИМ&quot;. Предлагаемая модель обеспечивает возможность формирования ВЧ КИМ образовательными организациями под конкретные особенности реализуемой ОПОП СПО, включая квалификационные требования конкретных работодателей. При этом применение сформированной ВЧ КИМ осуществляется только образовательной организацией, являющейся ее разработчиком (далее - уникальная ВЧ КИМ).">
        <w:r>
          <w:rPr>
            <w:sz w:val="24"/>
            <w:color w:val="0000ff"/>
          </w:rPr>
          <w:t xml:space="preserve">пункте 4.2</w:t>
        </w:r>
      </w:hyperlink>
      <w:r>
        <w:rPr>
          <w:sz w:val="24"/>
        </w:rPr>
        <w:t xml:space="preserve"> Указаний;</w:t>
      </w:r>
    </w:p>
    <w:p>
      <w:pPr>
        <w:pStyle w:val="0"/>
        <w:spacing w:before="240" w:lineRule="auto"/>
        <w:ind w:firstLine="540"/>
        <w:jc w:val="both"/>
      </w:pPr>
      <w:r>
        <w:rPr>
          <w:sz w:val="24"/>
        </w:rPr>
        <w:t xml:space="preserve">- осуществлять координацию и мониторинг своевременности формирования ВЧ КИМ.</w:t>
      </w:r>
    </w:p>
    <w:p>
      <w:pPr>
        <w:pStyle w:val="0"/>
        <w:spacing w:before="240" w:lineRule="auto"/>
        <w:ind w:firstLine="540"/>
        <w:jc w:val="both"/>
      </w:pPr>
      <w:r>
        <w:rPr>
          <w:sz w:val="24"/>
        </w:rPr>
        <w:t xml:space="preserve">4. РО может осуществлять выполнение делегированных РОИВ функций, связанных с формированием и применением ВЧ КИМ для проведения ДЭ профильного уровня в субъекте Российской Федерации.</w:t>
      </w:r>
    </w:p>
    <w:p>
      <w:pPr>
        <w:pStyle w:val="0"/>
        <w:spacing w:before="240" w:lineRule="auto"/>
        <w:ind w:firstLine="540"/>
        <w:jc w:val="both"/>
      </w:pPr>
      <w:r>
        <w:rPr>
          <w:sz w:val="24"/>
        </w:rPr>
        <w:t xml:space="preserve">5. Образовательная организация, реализующая образовательные программы СПО, осуществляет:</w:t>
      </w:r>
    </w:p>
    <w:p>
      <w:pPr>
        <w:pStyle w:val="0"/>
        <w:spacing w:before="240" w:lineRule="auto"/>
        <w:ind w:firstLine="540"/>
        <w:jc w:val="both"/>
      </w:pPr>
      <w:r>
        <w:rPr>
          <w:sz w:val="24"/>
        </w:rPr>
        <w:t xml:space="preserve">- информирование РОИВ/РО о проведении ДЭ профильного уровня и выборе модели формирования ВЧ КИМ в соответствии с моделями, описанными в </w:t>
      </w:r>
      <w:hyperlink w:history="0" w:anchor="P100" w:tooltip="4.2. Модели формирования ВЧ КИМ">
        <w:r>
          <w:rPr>
            <w:sz w:val="24"/>
            <w:color w:val="0000ff"/>
          </w:rPr>
          <w:t xml:space="preserve">пункте 4.2</w:t>
        </w:r>
      </w:hyperlink>
      <w:r>
        <w:rPr>
          <w:sz w:val="24"/>
        </w:rPr>
        <w:t xml:space="preserve"> Указаний;</w:t>
      </w:r>
    </w:p>
    <w:p>
      <w:pPr>
        <w:pStyle w:val="0"/>
        <w:spacing w:before="240" w:lineRule="auto"/>
        <w:ind w:firstLine="540"/>
        <w:jc w:val="both"/>
      </w:pPr>
      <w:r>
        <w:rPr>
          <w:sz w:val="24"/>
        </w:rPr>
        <w:t xml:space="preserve">- направление в РОИВ/РО сведений для получения доступа к Конструктору ВЧ КИМ и формирования ВЧ КИМ в случае выбора модели N 1, описанной в </w:t>
      </w:r>
      <w:hyperlink w:history="0" w:anchor="P102" w:tooltip="Модель N 1 - &quot;Формирование уникальной ВЧ КИМ&quot;. Предлагаемая модель обеспечивает возможность формирования ВЧ КИМ образовательными организациями под конкретные особенности реализуемой ОПОП СПО, включая квалификационные требования конкретных работодателей. При этом применение сформированной ВЧ КИМ осуществляется только образовательной организацией, являющейся ее разработчиком (далее - уникальная ВЧ КИМ).">
        <w:r>
          <w:rPr>
            <w:sz w:val="24"/>
            <w:color w:val="0000ff"/>
          </w:rPr>
          <w:t xml:space="preserve">пункте 4.2</w:t>
        </w:r>
      </w:hyperlink>
      <w:r>
        <w:rPr>
          <w:sz w:val="24"/>
        </w:rPr>
        <w:t xml:space="preserve"> Указаний, в рекомендуемые сроки.</w:t>
      </w:r>
    </w:p>
    <w:p>
      <w:pPr>
        <w:pStyle w:val="0"/>
        <w:jc w:val="both"/>
      </w:pPr>
      <w:r>
        <w:rPr>
          <w:sz w:val="24"/>
        </w:rPr>
      </w:r>
    </w:p>
    <w:p>
      <w:pPr>
        <w:pStyle w:val="2"/>
        <w:outlineLvl w:val="1"/>
        <w:jc w:val="center"/>
      </w:pPr>
      <w:r>
        <w:rPr>
          <w:sz w:val="24"/>
        </w:rPr>
        <w:t xml:space="preserve">4. Формирование и применение вариативной части КИМ</w:t>
      </w:r>
    </w:p>
    <w:p>
      <w:pPr>
        <w:pStyle w:val="0"/>
        <w:jc w:val="both"/>
      </w:pPr>
      <w:r>
        <w:rPr>
          <w:sz w:val="24"/>
        </w:rPr>
      </w:r>
    </w:p>
    <w:p>
      <w:pPr>
        <w:pStyle w:val="2"/>
        <w:outlineLvl w:val="2"/>
        <w:ind w:firstLine="540"/>
        <w:jc w:val="both"/>
      </w:pPr>
      <w:r>
        <w:rPr>
          <w:sz w:val="24"/>
        </w:rPr>
        <w:t xml:space="preserve">4.1. Общие подходы к формированию ВЧ КИМ</w:t>
      </w:r>
    </w:p>
    <w:p>
      <w:pPr>
        <w:pStyle w:val="0"/>
        <w:spacing w:before="240" w:lineRule="auto"/>
        <w:ind w:firstLine="540"/>
        <w:jc w:val="both"/>
      </w:pPr>
      <w:r>
        <w:rPr>
          <w:sz w:val="24"/>
        </w:rPr>
        <w:t xml:space="preserve">ВЧ КИМ формируется на основе спецификаций КИМ, опубликованных федеральным оператором в соответствии с </w:t>
      </w:r>
      <w:hyperlink w:history="0" r:id="rId22"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пунктом 13</w:t>
        </w:r>
      </w:hyperlink>
      <w:r>
        <w:rPr>
          <w:sz w:val="24"/>
        </w:rPr>
        <w:t xml:space="preserve"> Порядка КИМ.</w:t>
      </w:r>
    </w:p>
    <w:p>
      <w:pPr>
        <w:pStyle w:val="0"/>
        <w:spacing w:before="240" w:lineRule="auto"/>
        <w:ind w:firstLine="540"/>
        <w:jc w:val="both"/>
      </w:pPr>
      <w:r>
        <w:rPr>
          <w:sz w:val="24"/>
        </w:rPr>
        <w:t xml:space="preserve">Для формирования содержания ВЧ КИМ рассматриваются ОПОП СПО, учитывающие:</w:t>
      </w:r>
    </w:p>
    <w:p>
      <w:pPr>
        <w:pStyle w:val="0"/>
        <w:spacing w:before="240" w:lineRule="auto"/>
        <w:ind w:firstLine="540"/>
        <w:jc w:val="both"/>
      </w:pPr>
      <w:r>
        <w:rPr>
          <w:sz w:val="24"/>
        </w:rPr>
        <w:t xml:space="preserve">- квалификационные требования конкретного работодателя, заинтересованного в подготовке кадров соответствующей квалификации;</w:t>
      </w:r>
    </w:p>
    <w:p>
      <w:pPr>
        <w:pStyle w:val="0"/>
        <w:spacing w:before="240" w:lineRule="auto"/>
        <w:ind w:firstLine="540"/>
        <w:jc w:val="both"/>
      </w:pPr>
      <w:r>
        <w:rPr>
          <w:sz w:val="24"/>
        </w:rPr>
        <w:t xml:space="preserve">- особенности реального сектора экономики субъекта Российской Федерации.</w:t>
      </w:r>
    </w:p>
    <w:p>
      <w:pPr>
        <w:pStyle w:val="0"/>
        <w:spacing w:before="240" w:lineRule="auto"/>
        <w:ind w:firstLine="540"/>
        <w:jc w:val="both"/>
      </w:pPr>
      <w:r>
        <w:rPr>
          <w:sz w:val="24"/>
        </w:rPr>
        <w:t xml:space="preserve">Формирование содержания ВЧ КИМ может осуществляться за счет:</w:t>
      </w:r>
    </w:p>
    <w:p>
      <w:pPr>
        <w:pStyle w:val="0"/>
        <w:spacing w:before="240" w:lineRule="auto"/>
        <w:ind w:firstLine="540"/>
        <w:jc w:val="both"/>
      </w:pPr>
      <w:r>
        <w:rPr>
          <w:sz w:val="24"/>
        </w:rPr>
        <w:t xml:space="preserve">- включения дополнительных ВД, ПК, умений и навыков (практического опыта), не предусмотренных инвариантной частью КИМ;</w:t>
      </w:r>
    </w:p>
    <w:p>
      <w:pPr>
        <w:pStyle w:val="0"/>
        <w:spacing w:before="240" w:lineRule="auto"/>
        <w:ind w:firstLine="540"/>
        <w:jc w:val="both"/>
      </w:pPr>
      <w:r>
        <w:rPr>
          <w:sz w:val="24"/>
        </w:rPr>
        <w:t xml:space="preserve">- включения дополнительных ПК, относящихся к имеющимся ВД в инвариантной части КИМ;</w:t>
      </w:r>
    </w:p>
    <w:p>
      <w:pPr>
        <w:pStyle w:val="0"/>
        <w:spacing w:before="240" w:lineRule="auto"/>
        <w:ind w:firstLine="540"/>
        <w:jc w:val="both"/>
      </w:pPr>
      <w:r>
        <w:rPr>
          <w:sz w:val="24"/>
        </w:rPr>
        <w:t xml:space="preserve">- расширения перечня проверяемых умений и навыков (практического опыта) в рамках имеющихся ВД, ПК в инвариантной части КИМ;</w:t>
      </w:r>
    </w:p>
    <w:p>
      <w:pPr>
        <w:pStyle w:val="0"/>
        <w:spacing w:before="240" w:lineRule="auto"/>
        <w:ind w:firstLine="540"/>
        <w:jc w:val="both"/>
      </w:pPr>
      <w:r>
        <w:rPr>
          <w:sz w:val="24"/>
        </w:rPr>
        <w:t xml:space="preserve">- сочетания вышеперечисленных пунктов.</w:t>
      </w:r>
    </w:p>
    <w:p>
      <w:pPr>
        <w:pStyle w:val="0"/>
        <w:jc w:val="both"/>
      </w:pPr>
      <w:r>
        <w:rPr>
          <w:sz w:val="24"/>
        </w:rPr>
      </w:r>
    </w:p>
    <w:bookmarkStart w:id="100" w:name="P100"/>
    <w:bookmarkEnd w:id="100"/>
    <w:p>
      <w:pPr>
        <w:pStyle w:val="2"/>
        <w:outlineLvl w:val="2"/>
        <w:ind w:firstLine="540"/>
        <w:jc w:val="both"/>
      </w:pPr>
      <w:r>
        <w:rPr>
          <w:sz w:val="24"/>
        </w:rPr>
        <w:t xml:space="preserve">4.2. Модели формирования ВЧ КИМ</w:t>
      </w:r>
    </w:p>
    <w:p>
      <w:pPr>
        <w:pStyle w:val="0"/>
        <w:spacing w:before="240" w:lineRule="auto"/>
        <w:ind w:firstLine="540"/>
        <w:jc w:val="both"/>
      </w:pPr>
      <w:r>
        <w:rPr>
          <w:sz w:val="24"/>
        </w:rPr>
        <w:t xml:space="preserve">Образовательная организация на этапе планирования ДЭ профильного уровня может использовать одну из моделей формирования ВЧ КИМ.</w:t>
      </w:r>
    </w:p>
    <w:bookmarkStart w:id="102" w:name="P102"/>
    <w:bookmarkEnd w:id="102"/>
    <w:p>
      <w:pPr>
        <w:pStyle w:val="0"/>
        <w:spacing w:before="240" w:lineRule="auto"/>
        <w:ind w:firstLine="540"/>
        <w:jc w:val="both"/>
      </w:pPr>
      <w:r>
        <w:rPr>
          <w:sz w:val="24"/>
        </w:rPr>
        <w:t xml:space="preserve">Модель N 1 - "Формирование уникальной ВЧ КИМ". Предлагаемая модель обеспечивает возможность формирования ВЧ КИМ образовательными организациями под конкретные особенности реализуемой ОПОП СПО, включая квалификационные требования конкретных работодателей. При этом применение сформированной ВЧ КИМ осуществляется только образовательной организацией, являющейся ее разработчиком (далее - уникальная ВЧ КИМ).</w:t>
      </w:r>
    </w:p>
    <w:bookmarkStart w:id="103" w:name="P103"/>
    <w:bookmarkEnd w:id="103"/>
    <w:p>
      <w:pPr>
        <w:pStyle w:val="0"/>
        <w:spacing w:before="240" w:lineRule="auto"/>
        <w:ind w:firstLine="540"/>
        <w:jc w:val="both"/>
      </w:pPr>
      <w:r>
        <w:rPr>
          <w:sz w:val="24"/>
        </w:rPr>
        <w:t xml:space="preserve">Модель N 2 - "Формирование универсальной ВЧ КИМ". Предлагаемая модель предполагает формирование ВЧ КИМ по инициативе РОИВ для применения образовательными организациями субъекта Российской Федерации, реализующими соответствующие образовательные программы СПО. Сформированная в рамках данной модели ВЧ КИМ может быть использована образовательными организациями в качестве готового решения при проведении ДЭ профильного уровня (далее - универсальная ВЧ КИМ)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Универсальная ВЧ КИМ также может быть разработана по инициативе советов по профессиональным квалификациям и по согласованию с советами по профессиональным квалификациям применяться образовательными организациями с целью создания условий для установления соответствия КИМ оценочным средствам независимой оценки квалификации.</w:t>
      </w:r>
    </w:p>
    <w:p>
      <w:pPr>
        <w:pStyle w:val="0"/>
        <w:jc w:val="both"/>
      </w:pPr>
      <w:r>
        <w:rPr>
          <w:sz w:val="24"/>
        </w:rPr>
      </w:r>
    </w:p>
    <w:p>
      <w:pPr>
        <w:pStyle w:val="0"/>
        <w:ind w:firstLine="540"/>
        <w:jc w:val="both"/>
      </w:pPr>
      <w:r>
        <w:rPr>
          <w:sz w:val="24"/>
        </w:rPr>
        <w:t xml:space="preserve">РОИВ информирует образовательные организации о наличии универсальной ВЧ КИМ и рассматривает запросы образовательных организаций на ознакомление с содержанием универсальной ВЧ КИМ для последующего применения.</w:t>
      </w:r>
    </w:p>
    <w:p>
      <w:pPr>
        <w:pStyle w:val="0"/>
        <w:jc w:val="both"/>
      </w:pPr>
      <w:r>
        <w:rPr>
          <w:sz w:val="24"/>
        </w:rPr>
      </w:r>
    </w:p>
    <w:p>
      <w:pPr>
        <w:pStyle w:val="2"/>
        <w:outlineLvl w:val="2"/>
        <w:ind w:firstLine="540"/>
        <w:jc w:val="both"/>
      </w:pPr>
      <w:r>
        <w:rPr>
          <w:sz w:val="24"/>
        </w:rPr>
        <w:t xml:space="preserve">4.3. Этапы формирования ВЧ КИМ</w:t>
      </w:r>
    </w:p>
    <w:p>
      <w:pPr>
        <w:pStyle w:val="0"/>
        <w:spacing w:before="240" w:lineRule="auto"/>
        <w:ind w:firstLine="540"/>
        <w:jc w:val="both"/>
      </w:pPr>
      <w:r>
        <w:rPr>
          <w:sz w:val="24"/>
        </w:rPr>
        <w:t xml:space="preserve">С учетом положений </w:t>
      </w:r>
      <w:hyperlink w:history="0" r:id="rId23"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пункта 14</w:t>
        </w:r>
      </w:hyperlink>
      <w:r>
        <w:rPr>
          <w:sz w:val="24"/>
        </w:rPr>
        <w:t xml:space="preserve"> Порядка КИМ предлагаются следующие этапы формирования ВЧ КИМ с рекомендуемыми сроками выполнения.</w:t>
      </w:r>
    </w:p>
    <w:p>
      <w:pPr>
        <w:pStyle w:val="0"/>
        <w:jc w:val="both"/>
      </w:pPr>
      <w:r>
        <w:rPr>
          <w:sz w:val="24"/>
        </w:rPr>
      </w:r>
    </w:p>
    <w:p>
      <w:pPr>
        <w:pStyle w:val="2"/>
        <w:outlineLvl w:val="3"/>
        <w:ind w:firstLine="540"/>
        <w:jc w:val="both"/>
      </w:pPr>
      <w:r>
        <w:rPr>
          <w:sz w:val="24"/>
        </w:rPr>
        <w:t xml:space="preserve">Подготовительный этап.</w:t>
      </w:r>
    </w:p>
    <w:p>
      <w:pPr>
        <w:pStyle w:val="0"/>
        <w:spacing w:before="240" w:lineRule="auto"/>
        <w:ind w:firstLine="540"/>
        <w:jc w:val="both"/>
      </w:pPr>
      <w:r>
        <w:rPr>
          <w:sz w:val="24"/>
        </w:rPr>
        <w:t xml:space="preserve">На подготовительном этапе рекомендуется до 1 октября года, предшествующего году проведения ДЭ профильного уровня:</w:t>
      </w:r>
    </w:p>
    <w:p>
      <w:pPr>
        <w:pStyle w:val="0"/>
        <w:spacing w:before="240" w:lineRule="auto"/>
        <w:ind w:firstLine="540"/>
        <w:jc w:val="both"/>
      </w:pPr>
      <w:r>
        <w:rPr>
          <w:sz w:val="24"/>
        </w:rPr>
        <w:t xml:space="preserve">1. РОИВ определить регионального модератора и направить ФГБОУ ДПО ИРПО сопроводительным письмом на адрес электронной почты info@firpo.ru (в копии de@firpo.ru) следующие данные о региональном модераторе: Ф.И.О., должность и место работы, номер телефона и адрес электронной почты, который будет логином идентификации в Конструкторе ВЧ КИМ.</w:t>
      </w:r>
    </w:p>
    <w:p>
      <w:pPr>
        <w:pStyle w:val="0"/>
        <w:spacing w:before="240" w:lineRule="auto"/>
        <w:ind w:firstLine="540"/>
        <w:jc w:val="both"/>
      </w:pPr>
      <w:r>
        <w:rPr>
          <w:sz w:val="24"/>
        </w:rPr>
        <w:t xml:space="preserve">2. РОИВ определить модель формирования ВЧ КИМ по реализуемым образовательными организациями субъекта Российской Федерации образовательным программам СПО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Возможно сочетание моделей формирования ВЧ КИМ. Например, определить отдельные ФГОС СПО, по которым ДЭ профильного уровня в субъекте Российской Федерации будет проводиться с применением универсальной ВЧ КИМ, а по остальным - с применением уникальной ВЧ КИМ.</w:t>
      </w:r>
    </w:p>
    <w:p>
      <w:pPr>
        <w:pStyle w:val="0"/>
        <w:jc w:val="both"/>
      </w:pPr>
      <w:r>
        <w:rPr>
          <w:sz w:val="24"/>
        </w:rPr>
      </w:r>
    </w:p>
    <w:p>
      <w:pPr>
        <w:pStyle w:val="0"/>
        <w:ind w:firstLine="540"/>
        <w:jc w:val="both"/>
      </w:pPr>
      <w:r>
        <w:rPr>
          <w:sz w:val="24"/>
        </w:rPr>
        <w:t xml:space="preserve">3. Осуществить информирование сторон:</w:t>
      </w:r>
    </w:p>
    <w:p>
      <w:pPr>
        <w:pStyle w:val="0"/>
        <w:spacing w:before="240" w:lineRule="auto"/>
        <w:ind w:firstLine="540"/>
        <w:jc w:val="both"/>
      </w:pPr>
      <w:r>
        <w:rPr>
          <w:sz w:val="24"/>
        </w:rPr>
        <w:t xml:space="preserve">- РОИВ/РО информируют образовательные организации о формировании универсальной ВЧ КИМ и возможности ее применения для проведения ДЭ профильного уровня;</w:t>
      </w:r>
    </w:p>
    <w:p>
      <w:pPr>
        <w:pStyle w:val="0"/>
        <w:spacing w:before="240" w:lineRule="auto"/>
        <w:ind w:firstLine="540"/>
        <w:jc w:val="both"/>
      </w:pPr>
      <w:r>
        <w:rPr>
          <w:sz w:val="24"/>
        </w:rPr>
        <w:t xml:space="preserve">- образовательная организация информирует РОИВ/РО о проведении ДЭ профильного уровня по соответствующим образовательным программам СПО и выбранной модели формирования ВЧ КИМ.</w:t>
      </w:r>
    </w:p>
    <w:p>
      <w:pPr>
        <w:pStyle w:val="0"/>
        <w:spacing w:before="240" w:lineRule="auto"/>
        <w:ind w:firstLine="540"/>
        <w:jc w:val="both"/>
      </w:pPr>
      <w:r>
        <w:rPr>
          <w:sz w:val="24"/>
        </w:rPr>
        <w:t xml:space="preserve">При выборе </w:t>
      </w:r>
      <w:hyperlink w:history="0" w:anchor="P102" w:tooltip="Модель N 1 - &quot;Формирование уникальной ВЧ КИМ&quot;. Предлагаемая модель обеспечивает возможность формирования ВЧ КИМ образовательными организациями под конкретные особенности реализуемой ОПОП СПО, включая квалификационные требования конкретных работодателей. При этом применение сформированной ВЧ КИМ осуществляется только образовательной организацией, являющейся ее разработчиком (далее - уникальная ВЧ КИМ).">
        <w:r>
          <w:rPr>
            <w:sz w:val="24"/>
            <w:color w:val="0000ff"/>
          </w:rPr>
          <w:t xml:space="preserve">модели N 1</w:t>
        </w:r>
      </w:hyperlink>
      <w:r>
        <w:rPr>
          <w:sz w:val="24"/>
        </w:rPr>
        <w:t xml:space="preserve"> формирования ВЧ КИМ образовательные организации определяют ответственное лицо для работы в Конструкторе ВЧ КИМ (далее - куратор ОО). Куратор ОО осуществляет управление настройками в Конструкторе ВЧ КИМ для организации работы участников формирования уникальной ВЧ КИМ по определенным профессиям и специальностям СПО.</w:t>
      </w:r>
    </w:p>
    <w:p>
      <w:pPr>
        <w:pStyle w:val="0"/>
        <w:spacing w:before="240" w:lineRule="auto"/>
        <w:ind w:firstLine="540"/>
        <w:jc w:val="both"/>
      </w:pPr>
      <w:r>
        <w:rPr>
          <w:sz w:val="24"/>
        </w:rPr>
        <w:t xml:space="preserve">4. Региональному модератору предоставить участникам формирования ВЧ КИМ доступ в Конструктор ВЧ КИМ в соответствии с моделями, описанными в </w:t>
      </w:r>
      <w:hyperlink w:history="0" w:anchor="P100" w:tooltip="4.2. Модели формирования ВЧ КИМ">
        <w:r>
          <w:rPr>
            <w:sz w:val="24"/>
            <w:color w:val="0000ff"/>
          </w:rPr>
          <w:t xml:space="preserve">пункте 4.2</w:t>
        </w:r>
      </w:hyperlink>
      <w:r>
        <w:rPr>
          <w:sz w:val="24"/>
        </w:rPr>
        <w:t xml:space="preserve"> Указаний: кураторам ОО при формировании уникальной ВЧ КИМ и/или определенному разработчику при формировании универсальной ВЧ КИМ.</w:t>
      </w:r>
    </w:p>
    <w:p>
      <w:pPr>
        <w:pStyle w:val="0"/>
        <w:spacing w:before="240" w:lineRule="auto"/>
        <w:ind w:firstLine="540"/>
        <w:jc w:val="both"/>
      </w:pPr>
      <w:r>
        <w:rPr>
          <w:sz w:val="24"/>
        </w:rPr>
        <w:t xml:space="preserve">5. Участникам формирования ВЧ КИМ проанализировать содержание спецификации КИМ, опубликованной федеральным оператором, на предмет оцениваемых ВД, ПК, умений и навыков (практического опыта).</w:t>
      </w:r>
    </w:p>
    <w:p>
      <w:pPr>
        <w:pStyle w:val="0"/>
        <w:spacing w:before="240" w:lineRule="auto"/>
        <w:ind w:firstLine="540"/>
        <w:jc w:val="both"/>
      </w:pPr>
      <w:r>
        <w:rPr>
          <w:sz w:val="24"/>
        </w:rPr>
        <w:t xml:space="preserve">6. Сопоставить результаты анализа с содержанием:</w:t>
      </w:r>
    </w:p>
    <w:p>
      <w:pPr>
        <w:pStyle w:val="0"/>
        <w:spacing w:before="240" w:lineRule="auto"/>
        <w:ind w:firstLine="540"/>
        <w:jc w:val="both"/>
      </w:pPr>
      <w:r>
        <w:rPr>
          <w:sz w:val="24"/>
        </w:rPr>
        <w:t xml:space="preserve">- ОПОП СПО образовательной организации и квалификационными требованиями работодателей при формировании уникальной ВЧ КИМ;</w:t>
      </w:r>
    </w:p>
    <w:p>
      <w:pPr>
        <w:pStyle w:val="0"/>
        <w:spacing w:before="240" w:lineRule="auto"/>
        <w:ind w:firstLine="540"/>
        <w:jc w:val="both"/>
      </w:pPr>
      <w:r>
        <w:rPr>
          <w:sz w:val="24"/>
        </w:rPr>
        <w:t xml:space="preserve">- примерной образовательной программы СПО и квалификационными требованиями, характерными для региона или отрасли, при формировании универсальной ВЧ КИМ.</w:t>
      </w:r>
    </w:p>
    <w:p>
      <w:pPr>
        <w:pStyle w:val="0"/>
        <w:spacing w:before="240" w:lineRule="auto"/>
        <w:ind w:firstLine="540"/>
        <w:jc w:val="both"/>
      </w:pPr>
      <w:r>
        <w:rPr>
          <w:sz w:val="24"/>
        </w:rPr>
        <w:t xml:space="preserve">7. При необходимости создать рабочую группу по формированию ВЧ КИМ. В рабочую группу могут входить представители образовательной организации, работодателей, РОИВ, РО, профессиональных объединений и сообществ. Рабочая группа обеспечивает качество и своевременность формирования ВЧ КИМ.</w:t>
      </w:r>
    </w:p>
    <w:p>
      <w:pPr>
        <w:pStyle w:val="0"/>
        <w:jc w:val="both"/>
      </w:pPr>
      <w:r>
        <w:rPr>
          <w:sz w:val="24"/>
        </w:rPr>
      </w:r>
    </w:p>
    <w:p>
      <w:pPr>
        <w:pStyle w:val="2"/>
        <w:outlineLvl w:val="3"/>
        <w:ind w:firstLine="540"/>
        <w:jc w:val="both"/>
      </w:pPr>
      <w:r>
        <w:rPr>
          <w:sz w:val="24"/>
        </w:rPr>
        <w:t xml:space="preserve">Проектировочный этап.</w:t>
      </w:r>
    </w:p>
    <w:p>
      <w:pPr>
        <w:pStyle w:val="0"/>
        <w:spacing w:before="240" w:lineRule="auto"/>
        <w:ind w:firstLine="540"/>
        <w:jc w:val="both"/>
      </w:pPr>
      <w:r>
        <w:rPr>
          <w:sz w:val="24"/>
        </w:rPr>
        <w:t xml:space="preserve">На проектировочном этапе рекомендуется до 1 ноября года, предшествующего году проведения ДЭ профильного уровня:</w:t>
      </w:r>
    </w:p>
    <w:p>
      <w:pPr>
        <w:pStyle w:val="0"/>
        <w:spacing w:before="240" w:lineRule="auto"/>
        <w:ind w:firstLine="540"/>
        <w:jc w:val="both"/>
      </w:pPr>
      <w:r>
        <w:rPr>
          <w:sz w:val="24"/>
        </w:rPr>
        <w:t xml:space="preserve">1. Сформировать перечень ВД, ПК, умений и навыков (практического опыта) в соответствии с ОПОП СПО для определения основы проектирования содержания ВЧ КИМ. При этом выбранные умения и навыки (практический опыт) не должны дублироваться с инвариантной частью КИМ в разрезе соответствующих ПК.</w:t>
      </w:r>
    </w:p>
    <w:p>
      <w:pPr>
        <w:pStyle w:val="0"/>
        <w:spacing w:before="240" w:lineRule="auto"/>
        <w:ind w:firstLine="540"/>
        <w:jc w:val="both"/>
      </w:pPr>
      <w:r>
        <w:rPr>
          <w:sz w:val="24"/>
        </w:rPr>
        <w:t xml:space="preserve">При формировании перечня могут использоваться следующие способы:</w:t>
      </w:r>
    </w:p>
    <w:p>
      <w:pPr>
        <w:pStyle w:val="0"/>
        <w:spacing w:before="240" w:lineRule="auto"/>
        <w:ind w:firstLine="540"/>
        <w:jc w:val="both"/>
      </w:pPr>
      <w:r>
        <w:rPr>
          <w:sz w:val="24"/>
        </w:rPr>
        <w:t xml:space="preserve">Способ 1. Добавление новых ВД/ПК из ОПОП СПО или ФГОС СПО, не проверяемых в инвариантной части КИМ.</w:t>
      </w:r>
    </w:p>
    <w:p>
      <w:pPr>
        <w:pStyle w:val="0"/>
        <w:spacing w:before="240" w:lineRule="auto"/>
        <w:ind w:firstLine="540"/>
        <w:jc w:val="both"/>
      </w:pPr>
      <w:r>
        <w:rPr>
          <w:sz w:val="24"/>
        </w:rPr>
        <w:t xml:space="preserve">Способ 2. Расширение ПК, проверяемых в инвариантной части КИМ в рамках выбранного ВД, путем добавления умений/навыков (практического опыта).</w:t>
      </w:r>
    </w:p>
    <w:p>
      <w:pPr>
        <w:pStyle w:val="0"/>
        <w:spacing w:before="240" w:lineRule="auto"/>
        <w:ind w:firstLine="540"/>
        <w:jc w:val="both"/>
      </w:pPr>
      <w:r>
        <w:rPr>
          <w:sz w:val="24"/>
        </w:rPr>
        <w:t xml:space="preserve">Способ 3. Комбинированный, одновременное применение первого и второго способов;</w:t>
      </w:r>
    </w:p>
    <w:p>
      <w:pPr>
        <w:pStyle w:val="0"/>
        <w:spacing w:before="240" w:lineRule="auto"/>
        <w:ind w:firstLine="540"/>
        <w:jc w:val="both"/>
      </w:pPr>
      <w:r>
        <w:rPr>
          <w:sz w:val="24"/>
        </w:rPr>
        <w:t xml:space="preserve">2. Определить время, необходимое для выполнения заданий с учетом совокупности инвариантной и вариативной частей КИМ;</w:t>
      </w:r>
    </w:p>
    <w:p>
      <w:pPr>
        <w:pStyle w:val="0"/>
        <w:spacing w:before="240" w:lineRule="auto"/>
        <w:ind w:firstLine="540"/>
        <w:jc w:val="both"/>
      </w:pPr>
      <w:r>
        <w:rPr>
          <w:sz w:val="24"/>
        </w:rPr>
        <w:t xml:space="preserve">3. Определить количество вариантов заданий ВЧ КИМ в диапазоне от одного до количества вариантов ДЭ базового уровня &lt;5&gt; для соответствующего КИМ с учетом планируемого количества выпускников по определенным профессиям/специальностям;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Количество вариантов в КИМ ДЭ БУ отображается в разделе "Информация о КИМ" Конструктора ВЧ КИМ.</w:t>
      </w:r>
    </w:p>
    <w:p>
      <w:pPr>
        <w:pStyle w:val="0"/>
        <w:jc w:val="both"/>
      </w:pPr>
      <w:r>
        <w:rPr>
          <w:sz w:val="24"/>
        </w:rPr>
      </w:r>
    </w:p>
    <w:p>
      <w:pPr>
        <w:pStyle w:val="0"/>
        <w:ind w:firstLine="540"/>
        <w:jc w:val="both"/>
      </w:pPr>
      <w:r>
        <w:rPr>
          <w:sz w:val="24"/>
        </w:rPr>
        <w:t xml:space="preserve">4. Составить текст образца заданий и вариантов заданий ВЧ КИМ &lt;6&gt; с использованием одного из двух вариантов:</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При составлении заданий рекомендуется использовать перечень оборудования и оснащения, расходных материалов, средств обучения и воспитания инвариантной части КИМ.</w:t>
      </w:r>
    </w:p>
    <w:p>
      <w:pPr>
        <w:pStyle w:val="0"/>
        <w:jc w:val="both"/>
      </w:pPr>
      <w:r>
        <w:rPr>
          <w:sz w:val="24"/>
        </w:rPr>
      </w:r>
    </w:p>
    <w:p>
      <w:pPr>
        <w:pStyle w:val="0"/>
        <w:ind w:firstLine="540"/>
        <w:jc w:val="both"/>
      </w:pPr>
      <w:r>
        <w:rPr>
          <w:sz w:val="24"/>
        </w:rPr>
        <w:t xml:space="preserve">- расширение - добавление новых задач/действий к одному или нескольким заданиям инвариантной части КИМ;</w:t>
      </w:r>
    </w:p>
    <w:p>
      <w:pPr>
        <w:pStyle w:val="0"/>
        <w:spacing w:before="240" w:lineRule="auto"/>
        <w:ind w:firstLine="540"/>
        <w:jc w:val="both"/>
      </w:pPr>
      <w:r>
        <w:rPr>
          <w:sz w:val="24"/>
        </w:rPr>
        <w:t xml:space="preserve">- создание нового уникального задания;</w:t>
      </w:r>
    </w:p>
    <w:p>
      <w:pPr>
        <w:pStyle w:val="0"/>
        <w:spacing w:before="240" w:lineRule="auto"/>
        <w:ind w:firstLine="540"/>
        <w:jc w:val="both"/>
      </w:pPr>
      <w:r>
        <w:rPr>
          <w:sz w:val="24"/>
        </w:rPr>
        <w:t xml:space="preserve">5. При необходимости дополнить перечень оборудования и оснащения, расходных материалов, средств обучения и воспитания, необходимый для выполнения заданий ВЧ КИМ;</w:t>
      </w:r>
    </w:p>
    <w:p>
      <w:pPr>
        <w:pStyle w:val="0"/>
        <w:spacing w:before="240" w:lineRule="auto"/>
        <w:ind w:firstLine="540"/>
        <w:jc w:val="both"/>
      </w:pPr>
      <w:r>
        <w:rPr>
          <w:sz w:val="24"/>
        </w:rPr>
        <w:t xml:space="preserve">6. Подготовить при необходимости план застройки для ВЧ КИМ;</w:t>
      </w:r>
    </w:p>
    <w:p>
      <w:pPr>
        <w:pStyle w:val="0"/>
        <w:spacing w:before="240" w:lineRule="auto"/>
        <w:ind w:firstLine="540"/>
        <w:jc w:val="both"/>
      </w:pPr>
      <w:r>
        <w:rPr>
          <w:sz w:val="24"/>
        </w:rPr>
        <w:t xml:space="preserve">7. Разработать критерии оценивания ВЧ КИМ в соответствии с </w:t>
      </w:r>
      <w:hyperlink w:history="0" r:id="rId24"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пунктом 2</w:t>
        </w:r>
      </w:hyperlink>
      <w:r>
        <w:rPr>
          <w:sz w:val="24"/>
        </w:rPr>
        <w:t xml:space="preserve"> Порядка КИМ.</w:t>
      </w:r>
    </w:p>
    <w:p>
      <w:pPr>
        <w:pStyle w:val="0"/>
        <w:jc w:val="both"/>
      </w:pPr>
      <w:r>
        <w:rPr>
          <w:sz w:val="24"/>
        </w:rPr>
      </w:r>
    </w:p>
    <w:p>
      <w:pPr>
        <w:pStyle w:val="2"/>
        <w:outlineLvl w:val="3"/>
        <w:ind w:firstLine="540"/>
        <w:jc w:val="both"/>
      </w:pPr>
      <w:r>
        <w:rPr>
          <w:sz w:val="24"/>
        </w:rPr>
        <w:t xml:space="preserve">Этап согласования и утверждения.</w:t>
      </w:r>
    </w:p>
    <w:p>
      <w:pPr>
        <w:pStyle w:val="0"/>
        <w:spacing w:before="240" w:lineRule="auto"/>
        <w:ind w:firstLine="540"/>
        <w:jc w:val="both"/>
      </w:pPr>
      <w:r>
        <w:rPr>
          <w:sz w:val="24"/>
        </w:rPr>
        <w:t xml:space="preserve">После завершения формирования ВЧ КИМ рекомендуется согласовать ее с работодателем и утвердить в срок до 1 декабря года, предшествующего году проведения ДЭ профильного уровня.</w:t>
      </w:r>
    </w:p>
    <w:p>
      <w:pPr>
        <w:pStyle w:val="0"/>
        <w:spacing w:before="240" w:lineRule="auto"/>
        <w:ind w:firstLine="540"/>
        <w:jc w:val="both"/>
      </w:pPr>
      <w:r>
        <w:rPr>
          <w:sz w:val="24"/>
        </w:rPr>
        <w:t xml:space="preserve">Утверждение согласованной ВЧ КИМ осуществляется в соответствии с выбранной моделью.</w:t>
      </w:r>
    </w:p>
    <w:p>
      <w:pPr>
        <w:pStyle w:val="0"/>
        <w:spacing w:before="240" w:lineRule="auto"/>
        <w:ind w:firstLine="540"/>
        <w:jc w:val="both"/>
      </w:pPr>
      <w:r>
        <w:rPr>
          <w:sz w:val="24"/>
        </w:rPr>
        <w:t xml:space="preserve">При использовании уникальной ВЧ КИМ утверждение осуществляется уполномоченным в образовательной организации лицом.</w:t>
      </w:r>
    </w:p>
    <w:p>
      <w:pPr>
        <w:pStyle w:val="0"/>
        <w:spacing w:before="240" w:lineRule="auto"/>
        <w:ind w:firstLine="540"/>
        <w:jc w:val="both"/>
      </w:pPr>
      <w:r>
        <w:rPr>
          <w:sz w:val="24"/>
        </w:rPr>
        <w:t xml:space="preserve">При использовании универсальной ВЧ КИМ утверждение производится руководителем РОИВ, его заместителем или другим уполномоченным РОИВ лицом.</w:t>
      </w:r>
    </w:p>
    <w:p>
      <w:pPr>
        <w:pStyle w:val="0"/>
        <w:spacing w:before="240" w:lineRule="auto"/>
        <w:ind w:firstLine="540"/>
        <w:jc w:val="both"/>
      </w:pPr>
      <w:r>
        <w:rPr>
          <w:sz w:val="24"/>
        </w:rPr>
        <w:t xml:space="preserve">Региональный модератор осуществляет мониторинг готовности ВЧ КИМ и фиксирует завершение формирования ВЧ КИМ в Конструкторе ВЧ КИМ.</w:t>
      </w:r>
    </w:p>
    <w:p>
      <w:pPr>
        <w:pStyle w:val="0"/>
        <w:jc w:val="both"/>
      </w:pPr>
      <w:r>
        <w:rPr>
          <w:sz w:val="24"/>
        </w:rPr>
      </w:r>
    </w:p>
    <w:p>
      <w:pPr>
        <w:pStyle w:val="2"/>
        <w:outlineLvl w:val="1"/>
        <w:jc w:val="center"/>
      </w:pPr>
      <w:r>
        <w:rPr>
          <w:sz w:val="24"/>
        </w:rPr>
        <w:t xml:space="preserve">5. Технические особенности (средства) формирования</w:t>
      </w:r>
    </w:p>
    <w:p>
      <w:pPr>
        <w:pStyle w:val="2"/>
        <w:jc w:val="center"/>
      </w:pPr>
      <w:r>
        <w:rPr>
          <w:sz w:val="24"/>
        </w:rPr>
        <w:t xml:space="preserve">вариативной части КИМ</w:t>
      </w:r>
    </w:p>
    <w:p>
      <w:pPr>
        <w:pStyle w:val="0"/>
        <w:jc w:val="both"/>
      </w:pPr>
      <w:r>
        <w:rPr>
          <w:sz w:val="24"/>
        </w:rPr>
      </w:r>
    </w:p>
    <w:p>
      <w:pPr>
        <w:pStyle w:val="0"/>
        <w:ind w:firstLine="540"/>
        <w:jc w:val="both"/>
      </w:pPr>
      <w:r>
        <w:rPr>
          <w:sz w:val="24"/>
        </w:rPr>
        <w:t xml:space="preserve">С учетом положений </w:t>
      </w:r>
      <w:hyperlink w:history="0" r:id="rId25" w:tooltip="Приказ Минпросвещения России от 08.11.2021 N 800 (ред. от 22.05.2026)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7.12.2021 N 66211) {КонсультантПлюс}">
        <w:r>
          <w:rPr>
            <w:sz w:val="24"/>
            <w:color w:val="0000ff"/>
          </w:rPr>
          <w:t xml:space="preserve">пункта 24(4)</w:t>
        </w:r>
      </w:hyperlink>
      <w:r>
        <w:rPr>
          <w:sz w:val="24"/>
        </w:rPr>
        <w:t xml:space="preserve"> Порядка ГИА и </w:t>
      </w:r>
      <w:hyperlink w:history="0" r:id="rId26"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пунктов 14</w:t>
        </w:r>
      </w:hyperlink>
      <w:r>
        <w:rPr>
          <w:sz w:val="24"/>
        </w:rPr>
        <w:t xml:space="preserve">, </w:t>
      </w:r>
      <w:hyperlink w:history="0" r:id="rId27" w:tooltip="Приказ Минпросвещения России от 16.04.2026 N 275 &quot;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quot; (Зарегистрировано в Минюсте России 19.05.2026 N 86516) {КонсультантПлюс}">
        <w:r>
          <w:rPr>
            <w:sz w:val="24"/>
            <w:color w:val="0000ff"/>
          </w:rPr>
          <w:t xml:space="preserve">17</w:t>
        </w:r>
      </w:hyperlink>
      <w:r>
        <w:rPr>
          <w:sz w:val="24"/>
        </w:rPr>
        <w:t xml:space="preserve"> Порядка КИМ рекомендуется формировать ВЧ КИМ с использованием Конструктора ВЧ КИМ. Доступ к Конструктору ВЧ КИМ по ссылке: https://dam.dp.firpo.ru/.</w:t>
      </w:r>
    </w:p>
    <w:p>
      <w:pPr>
        <w:pStyle w:val="0"/>
        <w:spacing w:before="240" w:lineRule="auto"/>
        <w:ind w:firstLine="540"/>
        <w:jc w:val="both"/>
      </w:pPr>
      <w:r>
        <w:rPr>
          <w:sz w:val="24"/>
        </w:rPr>
        <w:t xml:space="preserve">Руководство для пользователей по работе с Конструктором ВЧ КИМ размещено по ссылке: https://de.firpo.ru/docs/om_336.</w:t>
      </w:r>
    </w:p>
    <w:p>
      <w:pPr>
        <w:pStyle w:val="0"/>
        <w:spacing w:before="240" w:lineRule="auto"/>
        <w:ind w:firstLine="540"/>
        <w:jc w:val="both"/>
      </w:pPr>
      <w:r>
        <w:rPr>
          <w:sz w:val="24"/>
        </w:rPr>
        <w:t xml:space="preserve">Федеральный оператор обеспечивает функционирование Конструктора ВЧ КИМ, позволяющего осуществлять региональному модератору управление настройками формирования ВЧ КИМ для проведения ДЭ профильного уровня в субъекте Российской Федерации.</w:t>
      </w:r>
    </w:p>
    <w:p>
      <w:pPr>
        <w:pStyle w:val="0"/>
        <w:spacing w:before="240" w:lineRule="auto"/>
        <w:ind w:firstLine="540"/>
        <w:jc w:val="both"/>
      </w:pPr>
      <w:r>
        <w:rPr>
          <w:sz w:val="24"/>
        </w:rPr>
        <w:t xml:space="preserve">Параметры доступа к Конструктору ВЧ КИМ предоставляются федеральным оператором региональному модератору в течение 5 рабочих дней после получения информации от РОИВ о региональном модераторе.</w:t>
      </w:r>
    </w:p>
    <w:p>
      <w:pPr>
        <w:pStyle w:val="0"/>
        <w:jc w:val="both"/>
      </w:pPr>
      <w:r>
        <w:rPr>
          <w:sz w:val="24"/>
        </w:rPr>
      </w:r>
    </w:p>
    <w:p>
      <w:pPr>
        <w:pStyle w:val="2"/>
        <w:outlineLvl w:val="1"/>
        <w:jc w:val="center"/>
      </w:pPr>
      <w:r>
        <w:rPr>
          <w:sz w:val="24"/>
        </w:rPr>
        <w:t xml:space="preserve">6. Порядок применения, актуализации и срок</w:t>
      </w:r>
    </w:p>
    <w:p>
      <w:pPr>
        <w:pStyle w:val="2"/>
        <w:jc w:val="center"/>
      </w:pPr>
      <w:r>
        <w:rPr>
          <w:sz w:val="24"/>
        </w:rPr>
        <w:t xml:space="preserve">действия Указаний</w:t>
      </w:r>
    </w:p>
    <w:p>
      <w:pPr>
        <w:pStyle w:val="0"/>
        <w:jc w:val="both"/>
      </w:pPr>
      <w:r>
        <w:rPr>
          <w:sz w:val="24"/>
        </w:rPr>
      </w:r>
    </w:p>
    <w:p>
      <w:pPr>
        <w:pStyle w:val="0"/>
        <w:ind w:firstLine="540"/>
        <w:jc w:val="both"/>
      </w:pPr>
      <w:r>
        <w:rPr>
          <w:sz w:val="24"/>
        </w:rPr>
        <w:t xml:space="preserve">Настоящие Указания действуют до утверждения новых методических материалов, описывающих формирование ВЧ КИМ, и могут быть актуализированы с учетом изменений нормативных правовых актов по вопросам проведения ГИА, модернизации и совершенствования технических возможностей Конструктора ВЧ КИМ.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Методическим указаниям</w:t>
      </w:r>
    </w:p>
    <w:p>
      <w:pPr>
        <w:pStyle w:val="0"/>
        <w:jc w:val="both"/>
      </w:pPr>
      <w:r>
        <w:rPr>
          <w:sz w:val="24"/>
        </w:rPr>
      </w:r>
    </w:p>
    <w:bookmarkStart w:id="179" w:name="P179"/>
    <w:bookmarkEnd w:id="179"/>
    <w:p>
      <w:pPr>
        <w:pStyle w:val="0"/>
        <w:jc w:val="center"/>
      </w:pPr>
      <w:r>
        <w:rPr>
          <w:sz w:val="24"/>
        </w:rPr>
        <w:t xml:space="preserve">ФОРМА СПЕЦИФИКАЦИИ КИМ ДЭ ТОМ 2 (ВАРИАТИВНАЯ ЧАСТЬ)</w:t>
      </w:r>
    </w:p>
    <w:p>
      <w:pPr>
        <w:pStyle w:val="0"/>
        <w:jc w:val="both"/>
      </w:pPr>
      <w:r>
        <w:rPr>
          <w:sz w:val="24"/>
        </w:rPr>
      </w:r>
    </w:p>
    <w:tbl>
      <w:tblPr>
        <w:tblInd w:w="0" w:type="dxa"/>
        <w:tblLayout w:type="fixed"/>
        <w:tblCellMar>
          <w:top w:w="102" w:type="dxa"/>
          <w:left w:w="62" w:type="dxa"/>
          <w:bottom w:w="102" w:type="dxa"/>
          <w:right w:w="62" w:type="dxa"/>
        </w:tblCellMar>
      </w:tblPr>
      <w:tblGrid>
        <w:gridCol w:w="3288"/>
        <w:gridCol w:w="2551"/>
        <w:gridCol w:w="3231"/>
      </w:tblGrid>
      <w:tr>
        <w:tc>
          <w:tcPr>
            <w:tcW w:w="3288" w:type="dxa"/>
            <w:tcBorders>
              <w:top w:val="nil"/>
              <w:left w:val="nil"/>
              <w:bottom w:val="nil"/>
              <w:right w:val="nil"/>
            </w:tcBorders>
          </w:tcPr>
          <w:p>
            <w:pPr>
              <w:pStyle w:val="0"/>
            </w:pPr>
            <w:r>
              <w:rPr>
                <w:sz w:val="24"/>
              </w:rPr>
              <w:t xml:space="preserve">СОГЛАСОВАНА</w:t>
            </w:r>
          </w:p>
        </w:tc>
        <w:tc>
          <w:tcPr>
            <w:tcW w:w="2551" w:type="dxa"/>
            <w:tcBorders>
              <w:top w:val="nil"/>
              <w:left w:val="nil"/>
              <w:bottom w:val="nil"/>
              <w:right w:val="nil"/>
            </w:tcBorders>
          </w:tcPr>
          <w:p>
            <w:pPr>
              <w:pStyle w:val="0"/>
            </w:pPr>
            <w:r>
              <w:rPr>
                <w:sz w:val="24"/>
              </w:rPr>
            </w:r>
          </w:p>
        </w:tc>
        <w:tc>
          <w:tcPr>
            <w:tcW w:w="3231" w:type="dxa"/>
            <w:tcBorders>
              <w:top w:val="nil"/>
              <w:left w:val="nil"/>
              <w:bottom w:val="nil"/>
              <w:right w:val="nil"/>
            </w:tcBorders>
          </w:tcPr>
          <w:p>
            <w:pPr>
              <w:pStyle w:val="0"/>
              <w:jc w:val="right"/>
            </w:pPr>
            <w:r>
              <w:rPr>
                <w:sz w:val="24"/>
              </w:rPr>
              <w:t xml:space="preserve">УТВЕРЖДЕНА</w:t>
            </w:r>
          </w:p>
        </w:tc>
      </w:tr>
      <w:tr>
        <w:tc>
          <w:tcPr>
            <w:tcW w:w="3288" w:type="dxa"/>
            <w:tcBorders>
              <w:top w:val="nil"/>
              <w:left w:val="nil"/>
              <w:bottom w:val="nil"/>
              <w:right w:val="nil"/>
            </w:tcBorders>
          </w:tcPr>
          <w:p>
            <w:pPr>
              <w:pStyle w:val="0"/>
            </w:pPr>
            <w:r>
              <w:rPr>
                <w:sz w:val="24"/>
              </w:rPr>
              <w:t xml:space="preserve">__________/ФИО</w:t>
            </w:r>
          </w:p>
          <w:p>
            <w:pPr>
              <w:pStyle w:val="0"/>
            </w:pPr>
            <w:r>
              <w:rPr>
                <w:sz w:val="24"/>
              </w:rPr>
              <w:t xml:space="preserve">"__" ______ 202_ г.</w:t>
            </w:r>
          </w:p>
          <w:p>
            <w:pPr>
              <w:pStyle w:val="0"/>
            </w:pPr>
            <w:r>
              <w:rPr>
                <w:sz w:val="24"/>
              </w:rPr>
              <w:t xml:space="preserve">МП</w:t>
            </w:r>
          </w:p>
        </w:tc>
        <w:tc>
          <w:tcPr>
            <w:tcW w:w="2551" w:type="dxa"/>
            <w:tcBorders>
              <w:top w:val="nil"/>
              <w:left w:val="nil"/>
              <w:bottom w:val="nil"/>
              <w:right w:val="nil"/>
            </w:tcBorders>
          </w:tcPr>
          <w:p>
            <w:pPr>
              <w:pStyle w:val="0"/>
            </w:pPr>
            <w:r>
              <w:rPr>
                <w:sz w:val="24"/>
              </w:rPr>
            </w:r>
          </w:p>
        </w:tc>
        <w:tc>
          <w:tcPr>
            <w:tcW w:w="3231" w:type="dxa"/>
            <w:tcBorders>
              <w:top w:val="nil"/>
              <w:left w:val="nil"/>
              <w:bottom w:val="nil"/>
              <w:right w:val="nil"/>
            </w:tcBorders>
          </w:tcPr>
          <w:p>
            <w:pPr>
              <w:pStyle w:val="0"/>
              <w:jc w:val="right"/>
            </w:pPr>
            <w:r>
              <w:rPr>
                <w:sz w:val="24"/>
              </w:rPr>
              <w:t xml:space="preserve">__________/ФИО</w:t>
            </w:r>
          </w:p>
          <w:p>
            <w:pPr>
              <w:pStyle w:val="0"/>
              <w:jc w:val="right"/>
            </w:pPr>
            <w:r>
              <w:rPr>
                <w:sz w:val="24"/>
              </w:rPr>
              <w:t xml:space="preserve">"__" ______ 202_ г.</w:t>
            </w:r>
          </w:p>
          <w:p>
            <w:pPr>
              <w:pStyle w:val="0"/>
              <w:jc w:val="right"/>
            </w:pPr>
            <w:r>
              <w:rPr>
                <w:sz w:val="24"/>
              </w:rPr>
              <w:t xml:space="preserve">МП</w:t>
            </w:r>
          </w:p>
        </w:tc>
      </w:tr>
    </w:tbl>
    <w:p>
      <w:pPr>
        <w:pStyle w:val="0"/>
        <w:jc w:val="both"/>
      </w:pPr>
      <w:r>
        <w:rPr>
          <w:sz w:val="24"/>
        </w:rPr>
      </w:r>
    </w:p>
    <w:p>
      <w:pPr>
        <w:pStyle w:val="0"/>
        <w:jc w:val="center"/>
      </w:pPr>
      <w:r>
        <w:rPr>
          <w:sz w:val="24"/>
        </w:rPr>
        <w:t xml:space="preserve">СПЕЦИФИКАЦИЯ</w:t>
      </w:r>
    </w:p>
    <w:p>
      <w:pPr>
        <w:pStyle w:val="0"/>
        <w:jc w:val="center"/>
      </w:pPr>
      <w:r>
        <w:rPr>
          <w:sz w:val="24"/>
        </w:rPr>
        <w:t xml:space="preserve">КОНТРОЛЬНЫХ ИЗМЕРИТЕЛЬНЫХ МАТЕРИАЛОВ</w:t>
      </w:r>
    </w:p>
    <w:p>
      <w:pPr>
        <w:pStyle w:val="0"/>
        <w:jc w:val="center"/>
      </w:pPr>
      <w:r>
        <w:rPr>
          <w:sz w:val="24"/>
        </w:rPr>
        <w:t xml:space="preserve">ДЕМОНСТРАЦИОННОГО ЭКЗАМЕНА</w:t>
      </w:r>
    </w:p>
    <w:p>
      <w:pPr>
        <w:pStyle w:val="0"/>
        <w:jc w:val="both"/>
      </w:pPr>
      <w:r>
        <w:rPr>
          <w:sz w:val="24"/>
        </w:rPr>
      </w:r>
    </w:p>
    <w:p>
      <w:pPr>
        <w:pStyle w:val="0"/>
        <w:jc w:val="center"/>
      </w:pPr>
      <w:r>
        <w:rPr>
          <w:sz w:val="24"/>
        </w:rPr>
        <w:t xml:space="preserve">Том 2</w:t>
      </w:r>
    </w:p>
    <w:p>
      <w:pPr>
        <w:pStyle w:val="0"/>
        <w:jc w:val="center"/>
      </w:pPr>
      <w:r>
        <w:rPr>
          <w:sz w:val="24"/>
        </w:rPr>
        <w:t xml:space="preserve">(вариативная часть)</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85"/>
        <w:gridCol w:w="4365"/>
      </w:tblGrid>
      <w:tr>
        <w:tc>
          <w:tcPr>
            <w:tcW w:w="4685" w:type="dxa"/>
          </w:tcPr>
          <w:p>
            <w:pPr>
              <w:pStyle w:val="0"/>
              <w:jc w:val="both"/>
            </w:pPr>
            <w:r>
              <w:rPr>
                <w:sz w:val="24"/>
              </w:rPr>
              <w:t xml:space="preserve">Код и наименование профессии (специальности) среднего профессионального образования</w:t>
            </w:r>
          </w:p>
        </w:tc>
        <w:tc>
          <w:tcPr>
            <w:tcW w:w="4365" w:type="dxa"/>
          </w:tcPr>
          <w:p>
            <w:pPr>
              <w:pStyle w:val="0"/>
              <w:jc w:val="both"/>
            </w:pPr>
            <w:r>
              <w:rPr>
                <w:sz w:val="24"/>
              </w:rPr>
              <w:t xml:space="preserve">XX.01(02).XX Наименование профессии (специальности)</w:t>
            </w:r>
          </w:p>
        </w:tc>
      </w:tr>
      <w:tr>
        <w:tc>
          <w:tcPr>
            <w:tcW w:w="4685" w:type="dxa"/>
          </w:tcPr>
          <w:p>
            <w:pPr>
              <w:pStyle w:val="0"/>
              <w:jc w:val="both"/>
            </w:pPr>
            <w:r>
              <w:rPr>
                <w:sz w:val="24"/>
              </w:rPr>
              <w:t xml:space="preserve">Наименование квалификации (наименование направленности)</w:t>
            </w:r>
          </w:p>
        </w:tc>
        <w:tc>
          <w:tcPr>
            <w:tcW w:w="4365" w:type="dxa"/>
          </w:tcPr>
          <w:p>
            <w:pPr>
              <w:pStyle w:val="0"/>
              <w:jc w:val="both"/>
            </w:pPr>
            <w:r>
              <w:rPr>
                <w:sz w:val="24"/>
              </w:rPr>
              <w:t xml:space="preserve">Наименование(-я) квалификации(-й) (наименование направленности)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85"/>
        <w:gridCol w:w="4365"/>
      </w:tblGrid>
      <w:tr>
        <w:tc>
          <w:tcPr>
            <w:tcW w:w="4685" w:type="dxa"/>
          </w:tcPr>
          <w:p>
            <w:pPr>
              <w:pStyle w:val="0"/>
              <w:jc w:val="both"/>
            </w:pPr>
            <w:r>
              <w:rPr>
                <w:sz w:val="24"/>
              </w:rPr>
              <w:t xml:space="preserve">Федеральный государственный образовательный стандарт среднего профессионального образования по профессии (специальности) среднего профессионального образования (ФГОС СПО):</w:t>
            </w:r>
          </w:p>
        </w:tc>
        <w:tc>
          <w:tcPr>
            <w:tcW w:w="4365" w:type="dxa"/>
          </w:tcPr>
          <w:p>
            <w:pPr>
              <w:pStyle w:val="0"/>
              <w:jc w:val="both"/>
            </w:pPr>
            <w:r>
              <w:rPr>
                <w:sz w:val="24"/>
              </w:rPr>
              <w:t xml:space="preserve">ФГОС СПО по &lt;профессии (специальности)&gt; XX.&lt;01(02)&gt;.XX &lt;наименование профессии (специальности)&gt; утвержденный приказом &lt;Минобрнауки России (Минпросвещения России)&gt; от XX.XX.XXXX N (ред. от XX.XX.XXXX)</w:t>
            </w:r>
          </w:p>
        </w:tc>
      </w:tr>
      <w:tr>
        <w:tc>
          <w:tcPr>
            <w:tcW w:w="4685" w:type="dxa"/>
          </w:tcPr>
          <w:p>
            <w:pPr>
              <w:pStyle w:val="0"/>
              <w:jc w:val="both"/>
            </w:pPr>
            <w:r>
              <w:rPr>
                <w:sz w:val="24"/>
              </w:rPr>
              <w:t xml:space="preserve">Виды аттестации:</w:t>
            </w:r>
          </w:p>
        </w:tc>
        <w:tc>
          <w:tcPr>
            <w:tcW w:w="4365" w:type="dxa"/>
          </w:tcPr>
          <w:p>
            <w:pPr>
              <w:pStyle w:val="0"/>
              <w:jc w:val="both"/>
            </w:pPr>
            <w:r>
              <w:rPr>
                <w:sz w:val="24"/>
              </w:rPr>
              <w:t xml:space="preserve">Государственная итоговая аттестация</w:t>
            </w:r>
          </w:p>
        </w:tc>
      </w:tr>
      <w:tr>
        <w:tc>
          <w:tcPr>
            <w:tcW w:w="4685" w:type="dxa"/>
          </w:tcPr>
          <w:p>
            <w:pPr>
              <w:pStyle w:val="0"/>
              <w:jc w:val="both"/>
            </w:pPr>
            <w:r>
              <w:rPr>
                <w:sz w:val="24"/>
              </w:rPr>
              <w:t xml:space="preserve">Уровень демонстрационного экзамена:</w:t>
            </w:r>
          </w:p>
        </w:tc>
        <w:tc>
          <w:tcPr>
            <w:tcW w:w="4365" w:type="dxa"/>
          </w:tcPr>
          <w:p>
            <w:pPr>
              <w:pStyle w:val="0"/>
              <w:jc w:val="both"/>
            </w:pPr>
            <w:r>
              <w:rPr>
                <w:sz w:val="24"/>
              </w:rPr>
              <w:t xml:space="preserve">Профильный (вариативная часть)</w:t>
            </w:r>
          </w:p>
        </w:tc>
      </w:tr>
      <w:tr>
        <w:tc>
          <w:tcPr>
            <w:tcW w:w="4685" w:type="dxa"/>
          </w:tcPr>
          <w:p>
            <w:pPr>
              <w:pStyle w:val="0"/>
              <w:jc w:val="both"/>
            </w:pPr>
            <w:r>
              <w:rPr>
                <w:sz w:val="24"/>
              </w:rPr>
              <w:t xml:space="preserve">Шифр КИМ:</w:t>
            </w:r>
          </w:p>
        </w:tc>
        <w:tc>
          <w:tcPr>
            <w:tcW w:w="4365" w:type="dxa"/>
          </w:tcPr>
          <w:p>
            <w:pPr>
              <w:pStyle w:val="0"/>
              <w:jc w:val="both"/>
            </w:pPr>
            <w:r>
              <w:rPr>
                <w:sz w:val="24"/>
              </w:rPr>
              <w:t xml:space="preserve">КИМ XX.XX.XX-X-2027</w:t>
            </w:r>
          </w:p>
        </w:tc>
      </w:tr>
    </w:tbl>
    <w:p>
      <w:pPr>
        <w:pStyle w:val="0"/>
        <w:jc w:val="both"/>
      </w:pPr>
      <w:r>
        <w:rPr>
          <w:sz w:val="24"/>
        </w:rPr>
      </w:r>
    </w:p>
    <w:p>
      <w:pPr>
        <w:pStyle w:val="0"/>
        <w:outlineLvl w:val="2"/>
        <w:jc w:val="center"/>
      </w:pPr>
      <w:r>
        <w:rPr>
          <w:sz w:val="24"/>
        </w:rPr>
        <w:t xml:space="preserve">1. СПИСОК ИСПОЛЬЗУЕМЫХ ТЕРМИНОВ И СОКРАЩЕНИЙ</w:t>
      </w:r>
    </w:p>
    <w:p>
      <w:pPr>
        <w:pStyle w:val="0"/>
        <w:jc w:val="both"/>
      </w:pPr>
      <w:r>
        <w:rPr>
          <w:sz w:val="24"/>
        </w:rPr>
      </w:r>
    </w:p>
    <w:tbl>
      <w:tblPr>
        <w:tblInd w:w="0" w:type="dxa"/>
        <w:tblLayout w:type="fixed"/>
        <w:tblCellMar>
          <w:top w:w="102" w:type="dxa"/>
          <w:left w:w="62" w:type="dxa"/>
          <w:bottom w:w="102" w:type="dxa"/>
          <w:right w:w="62" w:type="dxa"/>
        </w:tblCellMar>
      </w:tblPr>
      <w:tblGrid>
        <w:gridCol w:w="1417"/>
        <w:gridCol w:w="340"/>
        <w:gridCol w:w="7313"/>
      </w:tblGrid>
      <w:tr>
        <w:tc>
          <w:tcPr>
            <w:tcW w:w="1417" w:type="dxa"/>
            <w:tcBorders>
              <w:top w:val="nil"/>
              <w:left w:val="nil"/>
              <w:bottom w:val="nil"/>
              <w:right w:val="nil"/>
            </w:tcBorders>
          </w:tcPr>
          <w:p>
            <w:pPr>
              <w:pStyle w:val="0"/>
            </w:pPr>
            <w:r>
              <w:rPr>
                <w:sz w:val="24"/>
              </w:rPr>
              <w:t xml:space="preserve">ГИА</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государственная итоговая аттестация</w:t>
            </w:r>
          </w:p>
        </w:tc>
      </w:tr>
      <w:tr>
        <w:tc>
          <w:tcPr>
            <w:tcW w:w="1417" w:type="dxa"/>
            <w:tcBorders>
              <w:top w:val="nil"/>
              <w:left w:val="nil"/>
              <w:bottom w:val="nil"/>
              <w:right w:val="nil"/>
            </w:tcBorders>
          </w:tcPr>
          <w:p>
            <w:pPr>
              <w:pStyle w:val="0"/>
            </w:pPr>
            <w:r>
              <w:rPr>
                <w:sz w:val="24"/>
              </w:rPr>
              <w:t xml:space="preserve">ДЭ</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демонстрационный экзамен</w:t>
            </w:r>
          </w:p>
        </w:tc>
      </w:tr>
      <w:tr>
        <w:tc>
          <w:tcPr>
            <w:tcW w:w="1417" w:type="dxa"/>
            <w:tcBorders>
              <w:top w:val="nil"/>
              <w:left w:val="nil"/>
              <w:bottom w:val="nil"/>
              <w:right w:val="nil"/>
            </w:tcBorders>
          </w:tcPr>
          <w:p>
            <w:pPr>
              <w:pStyle w:val="0"/>
            </w:pPr>
            <w:r>
              <w:rPr>
                <w:sz w:val="24"/>
              </w:rPr>
              <w:t xml:space="preserve">ДЭ ПУ</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демонстрационный экзамен профильного уровня</w:t>
            </w:r>
          </w:p>
        </w:tc>
      </w:tr>
      <w:tr>
        <w:tc>
          <w:tcPr>
            <w:tcW w:w="1417" w:type="dxa"/>
            <w:tcBorders>
              <w:top w:val="nil"/>
              <w:left w:val="nil"/>
              <w:bottom w:val="nil"/>
              <w:right w:val="nil"/>
            </w:tcBorders>
          </w:tcPr>
          <w:p>
            <w:pPr>
              <w:pStyle w:val="0"/>
            </w:pPr>
            <w:r>
              <w:rPr>
                <w:sz w:val="24"/>
              </w:rPr>
              <w:t xml:space="preserve">КИМ</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контрольные измерительные материалы, представляющие собой комплексы заданий стандартизированной формы</w:t>
            </w:r>
          </w:p>
        </w:tc>
      </w:tr>
      <w:tr>
        <w:tc>
          <w:tcPr>
            <w:tcW w:w="1417" w:type="dxa"/>
            <w:tcBorders>
              <w:top w:val="nil"/>
              <w:left w:val="nil"/>
              <w:bottom w:val="nil"/>
              <w:right w:val="nil"/>
            </w:tcBorders>
          </w:tcPr>
          <w:p>
            <w:pPr>
              <w:pStyle w:val="0"/>
            </w:pPr>
            <w:r>
              <w:rPr>
                <w:sz w:val="24"/>
              </w:rPr>
              <w:t xml:space="preserve">ОК</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общая компетенция</w:t>
            </w:r>
          </w:p>
        </w:tc>
      </w:tr>
      <w:tr>
        <w:tc>
          <w:tcPr>
            <w:tcW w:w="1417" w:type="dxa"/>
            <w:tcBorders>
              <w:top w:val="nil"/>
              <w:left w:val="nil"/>
              <w:bottom w:val="nil"/>
              <w:right w:val="nil"/>
            </w:tcBorders>
          </w:tcPr>
          <w:p>
            <w:pPr>
              <w:pStyle w:val="0"/>
            </w:pPr>
            <w:r>
              <w:rPr>
                <w:sz w:val="24"/>
              </w:rPr>
              <w:t xml:space="preserve">ПК</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профессиональная компетенция</w:t>
            </w:r>
          </w:p>
        </w:tc>
      </w:tr>
      <w:tr>
        <w:tc>
          <w:tcPr>
            <w:tcW w:w="1417" w:type="dxa"/>
            <w:tcBorders>
              <w:top w:val="nil"/>
              <w:left w:val="nil"/>
              <w:bottom w:val="nil"/>
              <w:right w:val="nil"/>
            </w:tcBorders>
          </w:tcPr>
          <w:p>
            <w:pPr>
              <w:pStyle w:val="0"/>
            </w:pPr>
            <w:r>
              <w:rPr>
                <w:sz w:val="24"/>
              </w:rPr>
              <w:t xml:space="preserve">СПО</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среднее профессиональное образование</w:t>
            </w:r>
          </w:p>
        </w:tc>
      </w:tr>
      <w:tr>
        <w:tc>
          <w:tcPr>
            <w:tcW w:w="1417" w:type="dxa"/>
            <w:tcBorders>
              <w:top w:val="nil"/>
              <w:left w:val="nil"/>
              <w:bottom w:val="nil"/>
              <w:right w:val="nil"/>
            </w:tcBorders>
          </w:tcPr>
          <w:p>
            <w:pPr>
              <w:pStyle w:val="0"/>
            </w:pPr>
            <w:r>
              <w:rPr>
                <w:sz w:val="24"/>
              </w:rPr>
              <w:t xml:space="preserve">ФГОС СПО</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федеральный государственный образовательный стандарт среднего профессионального образования, на основе которого разработан контрольный измерительный материал</w:t>
            </w:r>
          </w:p>
        </w:tc>
      </w:tr>
      <w:tr>
        <w:tc>
          <w:tcPr>
            <w:tcW w:w="1417" w:type="dxa"/>
            <w:tcBorders>
              <w:top w:val="nil"/>
              <w:left w:val="nil"/>
              <w:bottom w:val="nil"/>
              <w:right w:val="nil"/>
            </w:tcBorders>
          </w:tcPr>
          <w:p>
            <w:pPr>
              <w:pStyle w:val="0"/>
            </w:pPr>
            <w:r>
              <w:rPr>
                <w:sz w:val="24"/>
              </w:rPr>
              <w:t xml:space="preserve">ЦПДЭ</w:t>
            </w:r>
          </w:p>
        </w:tc>
        <w:tc>
          <w:tcPr>
            <w:tcW w:w="340" w:type="dxa"/>
            <w:tcBorders>
              <w:top w:val="nil"/>
              <w:left w:val="nil"/>
              <w:bottom w:val="nil"/>
              <w:right w:val="nil"/>
            </w:tcBorders>
          </w:tcPr>
          <w:p>
            <w:pPr>
              <w:pStyle w:val="0"/>
              <w:jc w:val="both"/>
            </w:pPr>
            <w:r>
              <w:rPr>
                <w:sz w:val="24"/>
              </w:rPr>
              <w:t xml:space="preserve">-</w:t>
            </w:r>
          </w:p>
        </w:tc>
        <w:tc>
          <w:tcPr>
            <w:tcW w:w="7313" w:type="dxa"/>
            <w:tcBorders>
              <w:top w:val="nil"/>
              <w:left w:val="nil"/>
              <w:bottom w:val="nil"/>
              <w:right w:val="nil"/>
            </w:tcBorders>
          </w:tcPr>
          <w:p>
            <w:pPr>
              <w:pStyle w:val="0"/>
              <w:jc w:val="both"/>
            </w:pPr>
            <w:r>
              <w:rPr>
                <w:sz w:val="24"/>
              </w:rPr>
              <w:t xml:space="preserve">центр проведения демонстрационного экзамена</w:t>
            </w:r>
          </w:p>
        </w:tc>
      </w:tr>
    </w:tbl>
    <w:p>
      <w:pPr>
        <w:pStyle w:val="0"/>
        <w:jc w:val="both"/>
      </w:pPr>
      <w:r>
        <w:rPr>
          <w:sz w:val="24"/>
        </w:rPr>
      </w:r>
    </w:p>
    <w:p>
      <w:pPr>
        <w:pStyle w:val="0"/>
        <w:outlineLvl w:val="2"/>
        <w:jc w:val="center"/>
      </w:pPr>
      <w:r>
        <w:rPr>
          <w:sz w:val="24"/>
        </w:rPr>
        <w:t xml:space="preserve">2. СПЕЦИФИКАЦИЯ КИМ (ВАРИАТИВНАЯ ЧАСТЬ)</w:t>
      </w:r>
    </w:p>
    <w:p>
      <w:pPr>
        <w:pStyle w:val="0"/>
        <w:jc w:val="both"/>
      </w:pPr>
      <w:r>
        <w:rPr>
          <w:sz w:val="24"/>
        </w:rPr>
      </w:r>
    </w:p>
    <w:p>
      <w:pPr>
        <w:pStyle w:val="0"/>
        <w:outlineLvl w:val="3"/>
        <w:jc w:val="center"/>
      </w:pPr>
      <w:r>
        <w:rPr>
          <w:sz w:val="24"/>
        </w:rPr>
        <w:t xml:space="preserve">2.1 Комплекс основных характеристик для проведения ДЭ</w:t>
      </w:r>
    </w:p>
    <w:p>
      <w:pPr>
        <w:pStyle w:val="0"/>
        <w:jc w:val="both"/>
      </w:pPr>
      <w:r>
        <w:rPr>
          <w:sz w:val="24"/>
        </w:rPr>
      </w:r>
    </w:p>
    <w:p>
      <w:pPr>
        <w:pStyle w:val="0"/>
        <w:ind w:firstLine="540"/>
        <w:jc w:val="both"/>
      </w:pPr>
      <w:r>
        <w:rPr>
          <w:sz w:val="24"/>
        </w:rPr>
        <w:t xml:space="preserve">КИМ в части ГИА ДЭ ПУ включает составные части - инвариантную и вариативную части.</w:t>
      </w:r>
    </w:p>
    <w:p>
      <w:pPr>
        <w:pStyle w:val="0"/>
        <w:spacing w:before="240" w:lineRule="auto"/>
        <w:ind w:firstLine="540"/>
        <w:jc w:val="both"/>
      </w:pPr>
      <w:r>
        <w:rPr>
          <w:sz w:val="24"/>
        </w:rPr>
        <w:t xml:space="preserve">Настоящая спецификация КИМ (вариативной части) предназначена для организации и проведения вариативной части ГИА ДЭ ПУ (далее - ПУ ВЧ).</w:t>
      </w:r>
    </w:p>
    <w:p>
      <w:pPr>
        <w:pStyle w:val="0"/>
        <w:spacing w:before="240" w:lineRule="auto"/>
        <w:ind w:firstLine="540"/>
        <w:jc w:val="both"/>
      </w:pPr>
      <w:r>
        <w:rPr>
          <w:sz w:val="24"/>
        </w:rPr>
        <w:t xml:space="preserve">Для выполнения заданий КИМ ПУ ВЧ предусматривается/не предусматривается наличие (присутствие) добровольцев (волонтеров)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Информация о волонтерах может быть дополнена в случае, если это предусмотрено особенностью выполнения задания вариативной части КИМ.</w:t>
      </w:r>
    </w:p>
    <w:p>
      <w:pPr>
        <w:pStyle w:val="0"/>
        <w:jc w:val="both"/>
      </w:pPr>
      <w:r>
        <w:rPr>
          <w:sz w:val="24"/>
        </w:rPr>
      </w:r>
    </w:p>
    <w:p>
      <w:pPr>
        <w:pStyle w:val="0"/>
        <w:ind w:firstLine="540"/>
        <w:jc w:val="both"/>
      </w:pPr>
      <w:r>
        <w:rPr>
          <w:sz w:val="24"/>
        </w:rPr>
        <w:t xml:space="preserve">Продолжительность ДЭ ПУ ВЧ определяется в соответствии с данными, приведенными в таблице N 1.</w:t>
      </w:r>
    </w:p>
    <w:p>
      <w:pPr>
        <w:pStyle w:val="0"/>
        <w:jc w:val="both"/>
      </w:pPr>
      <w:r>
        <w:rPr>
          <w:sz w:val="24"/>
        </w:rPr>
      </w:r>
    </w:p>
    <w:p>
      <w:pPr>
        <w:pStyle w:val="0"/>
        <w:jc w:val="right"/>
      </w:pPr>
      <w:r>
        <w:rPr>
          <w:sz w:val="24"/>
        </w:rPr>
        <w:t xml:space="preserve">Таблица N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1644"/>
        <w:gridCol w:w="3175"/>
        <w:gridCol w:w="3005"/>
      </w:tblGrid>
      <w:tr>
        <w:tc>
          <w:tcPr>
            <w:tcW w:w="1247" w:type="dxa"/>
          </w:tcPr>
          <w:p>
            <w:pPr>
              <w:pStyle w:val="0"/>
              <w:jc w:val="center"/>
            </w:pPr>
            <w:r>
              <w:rPr>
                <w:sz w:val="24"/>
              </w:rPr>
              <w:t xml:space="preserve">Вид аттестации</w:t>
            </w:r>
          </w:p>
        </w:tc>
        <w:tc>
          <w:tcPr>
            <w:tcW w:w="1644" w:type="dxa"/>
          </w:tcPr>
          <w:p>
            <w:pPr>
              <w:pStyle w:val="0"/>
              <w:jc w:val="center"/>
            </w:pPr>
            <w:r>
              <w:rPr>
                <w:sz w:val="24"/>
              </w:rPr>
              <w:t xml:space="preserve">Уровень ДЭ</w:t>
            </w:r>
          </w:p>
        </w:tc>
        <w:tc>
          <w:tcPr>
            <w:tcW w:w="3175" w:type="dxa"/>
          </w:tcPr>
          <w:p>
            <w:pPr>
              <w:pStyle w:val="0"/>
              <w:jc w:val="center"/>
            </w:pPr>
            <w:r>
              <w:rPr>
                <w:sz w:val="24"/>
              </w:rPr>
              <w:t xml:space="preserve">Составная часть КИМ (инвариантная/вариативная)</w:t>
            </w:r>
          </w:p>
        </w:tc>
        <w:tc>
          <w:tcPr>
            <w:tcW w:w="3005" w:type="dxa"/>
          </w:tcPr>
          <w:p>
            <w:pPr>
              <w:pStyle w:val="0"/>
              <w:jc w:val="center"/>
            </w:pPr>
            <w:r>
              <w:rPr>
                <w:sz w:val="24"/>
              </w:rPr>
              <w:t xml:space="preserve">Продолжительность ДЭ</w:t>
            </w:r>
          </w:p>
        </w:tc>
      </w:tr>
      <w:tr>
        <w:tc>
          <w:tcPr>
            <w:tcW w:w="1247" w:type="dxa"/>
            <w:vAlign w:val="center"/>
            <w:vMerge w:val="restart"/>
          </w:tcPr>
          <w:p>
            <w:pPr>
              <w:pStyle w:val="0"/>
              <w:jc w:val="center"/>
            </w:pPr>
            <w:r>
              <w:rPr>
                <w:sz w:val="24"/>
              </w:rPr>
              <w:t xml:space="preserve">ГИА</w:t>
            </w:r>
          </w:p>
        </w:tc>
        <w:tc>
          <w:tcPr>
            <w:tcW w:w="1644" w:type="dxa"/>
            <w:vAlign w:val="center"/>
            <w:vMerge w:val="restart"/>
          </w:tcPr>
          <w:p>
            <w:pPr>
              <w:pStyle w:val="0"/>
              <w:jc w:val="center"/>
            </w:pPr>
            <w:r>
              <w:rPr>
                <w:sz w:val="24"/>
              </w:rPr>
              <w:t xml:space="preserve">Профильный</w:t>
            </w:r>
          </w:p>
        </w:tc>
        <w:tc>
          <w:tcPr>
            <w:tcW w:w="3175" w:type="dxa"/>
            <w:vAlign w:val="center"/>
          </w:tcPr>
          <w:p>
            <w:pPr>
              <w:pStyle w:val="0"/>
              <w:jc w:val="center"/>
            </w:pPr>
            <w:r>
              <w:rPr>
                <w:sz w:val="24"/>
              </w:rPr>
              <w:t xml:space="preserve">Совокупность инвариантной и вариативной частей</w:t>
            </w:r>
          </w:p>
        </w:tc>
        <w:tc>
          <w:tcPr>
            <w:tcW w:w="3005" w:type="dxa"/>
            <w:vAlign w:val="center"/>
          </w:tcPr>
          <w:p>
            <w:pPr>
              <w:pStyle w:val="0"/>
              <w:jc w:val="center"/>
            </w:pPr>
            <w:r>
              <w:rPr>
                <w:sz w:val="24"/>
              </w:rPr>
              <w:t xml:space="preserve">4 астрономических ч. </w:t>
            </w:r>
            <w:hyperlink w:history="0" w:anchor="P269" w:tooltip="&lt;8&gt; Время является рекомендованным. Образовательные организации на свое усмотрение при наличии мотивированного обоснования могут увеличить время, рекомендованное на выполнение вариативной части профильного уровня.">
              <w:r>
                <w:rPr>
                  <w:sz w:val="24"/>
                  <w:color w:val="0000ff"/>
                </w:rPr>
                <w:t xml:space="preserve">&lt;8&gt;</w:t>
              </w:r>
            </w:hyperlink>
          </w:p>
        </w:tc>
      </w:tr>
      <w:tr>
        <w:tc>
          <w:tcPr>
            <w:vMerge w:val="continue"/>
          </w:tcPr>
          <w:p/>
        </w:tc>
        <w:tc>
          <w:tcPr>
            <w:vMerge w:val="continue"/>
          </w:tcPr>
          <w:p/>
        </w:tc>
        <w:tc>
          <w:tcPr>
            <w:tcW w:w="3175" w:type="dxa"/>
            <w:vAlign w:val="center"/>
          </w:tcPr>
          <w:p>
            <w:pPr>
              <w:pStyle w:val="0"/>
              <w:jc w:val="center"/>
            </w:pPr>
            <w:r>
              <w:rPr>
                <w:sz w:val="24"/>
              </w:rPr>
              <w:t xml:space="preserve">Вариативная часть</w:t>
            </w:r>
          </w:p>
        </w:tc>
        <w:tc>
          <w:tcPr>
            <w:tcW w:w="3005" w:type="dxa"/>
            <w:vAlign w:val="center"/>
          </w:tcPr>
          <w:p>
            <w:pPr>
              <w:pStyle w:val="0"/>
              <w:jc w:val="center"/>
            </w:pPr>
            <w:r>
              <w:rPr>
                <w:sz w:val="24"/>
              </w:rPr>
              <w:t xml:space="preserve">0 ч. 00 мин.</w:t>
            </w:r>
          </w:p>
        </w:tc>
      </w:tr>
    </w:tbl>
    <w:p>
      <w:pPr>
        <w:pStyle w:val="0"/>
        <w:jc w:val="both"/>
      </w:pPr>
      <w:r>
        <w:rPr>
          <w:sz w:val="24"/>
        </w:rPr>
      </w:r>
    </w:p>
    <w:p>
      <w:pPr>
        <w:pStyle w:val="0"/>
        <w:ind w:firstLine="540"/>
        <w:jc w:val="both"/>
      </w:pPr>
      <w:r>
        <w:rPr>
          <w:sz w:val="24"/>
        </w:rPr>
        <w:t xml:space="preserve">--------------------------------</w:t>
      </w:r>
    </w:p>
    <w:bookmarkStart w:id="269" w:name="P269"/>
    <w:bookmarkEnd w:id="269"/>
    <w:p>
      <w:pPr>
        <w:pStyle w:val="0"/>
        <w:spacing w:before="240" w:lineRule="auto"/>
        <w:ind w:firstLine="540"/>
        <w:jc w:val="both"/>
      </w:pPr>
      <w:r>
        <w:rPr>
          <w:sz w:val="24"/>
        </w:rPr>
        <w:t xml:space="preserve">&lt;8&gt; Время является рекомендованным. Образовательные организации на свое усмотрение при наличии мотивированного обоснования могут увеличить время, рекомендованное на выполнение вариативной части профильного уровня.</w:t>
      </w:r>
    </w:p>
    <w:p>
      <w:pPr>
        <w:pStyle w:val="0"/>
        <w:spacing w:before="240" w:lineRule="auto"/>
        <w:ind w:firstLine="540"/>
        <w:jc w:val="both"/>
      </w:pPr>
      <w:r>
        <w:rPr>
          <w:sz w:val="24"/>
        </w:rPr>
        <w:t xml:space="preserve">Содержательная структура спецификации КИМ (вариативной части) представлена в таблице N 2.</w:t>
      </w:r>
    </w:p>
    <w:p>
      <w:pPr>
        <w:pStyle w:val="0"/>
        <w:jc w:val="both"/>
      </w:pPr>
      <w:r>
        <w:rPr>
          <w:sz w:val="24"/>
        </w:rPr>
      </w:r>
    </w:p>
    <w:p>
      <w:pPr>
        <w:pStyle w:val="0"/>
        <w:jc w:val="right"/>
      </w:pPr>
      <w:r>
        <w:rPr>
          <w:sz w:val="24"/>
        </w:rPr>
        <w:t xml:space="preserve">Таблица N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2438"/>
        <w:gridCol w:w="3628"/>
        <w:gridCol w:w="1304"/>
      </w:tblGrid>
      <w:tr>
        <w:tc>
          <w:tcPr>
            <w:tcW w:w="1701" w:type="dxa"/>
          </w:tcPr>
          <w:p>
            <w:pPr>
              <w:pStyle w:val="0"/>
              <w:jc w:val="center"/>
            </w:pPr>
            <w:r>
              <w:rPr>
                <w:sz w:val="24"/>
              </w:rPr>
              <w:t xml:space="preserve">Вид деятельности</w:t>
            </w:r>
          </w:p>
        </w:tc>
        <w:tc>
          <w:tcPr>
            <w:tcW w:w="2438" w:type="dxa"/>
          </w:tcPr>
          <w:p>
            <w:pPr>
              <w:pStyle w:val="0"/>
              <w:jc w:val="center"/>
            </w:pPr>
            <w:r>
              <w:rPr>
                <w:sz w:val="24"/>
              </w:rPr>
              <w:t xml:space="preserve">Перечень оцениваемых ОК, ПК</w:t>
            </w:r>
          </w:p>
        </w:tc>
        <w:tc>
          <w:tcPr>
            <w:tcW w:w="3628" w:type="dxa"/>
          </w:tcPr>
          <w:p>
            <w:pPr>
              <w:pStyle w:val="0"/>
              <w:jc w:val="center"/>
            </w:pPr>
            <w:r>
              <w:rPr>
                <w:sz w:val="24"/>
              </w:rPr>
              <w:t xml:space="preserve">Перечень оцениваемых умений, навыков (практического опыта)</w:t>
            </w:r>
          </w:p>
        </w:tc>
        <w:tc>
          <w:tcPr>
            <w:tcW w:w="1304" w:type="dxa"/>
          </w:tcPr>
          <w:p>
            <w:pPr>
              <w:pStyle w:val="0"/>
              <w:jc w:val="center"/>
            </w:pPr>
            <w:r>
              <w:rPr>
                <w:sz w:val="24"/>
              </w:rPr>
              <w:t xml:space="preserve">N Задания </w:t>
            </w:r>
            <w:hyperlink w:history="0" w:anchor="P316" w:tooltip="&lt;9&gt; Наименование и порядковый номер задания определяются видом аттестации и уровнем ДЭ.">
              <w:r>
                <w:rPr>
                  <w:sz w:val="24"/>
                  <w:color w:val="0000ff"/>
                </w:rPr>
                <w:t xml:space="preserve">&lt;9&gt;</w:t>
              </w:r>
            </w:hyperlink>
          </w:p>
        </w:tc>
      </w:tr>
      <w:tr>
        <w:tc>
          <w:tcPr>
            <w:tcW w:w="1701" w:type="dxa"/>
          </w:tcPr>
          <w:p>
            <w:pPr>
              <w:pStyle w:val="0"/>
            </w:pPr>
            <w:r>
              <w:rPr>
                <w:sz w:val="24"/>
              </w:rPr>
            </w:r>
          </w:p>
        </w:tc>
        <w:tc>
          <w:tcPr>
            <w:tcW w:w="2438" w:type="dxa"/>
          </w:tcPr>
          <w:p>
            <w:pPr>
              <w:pStyle w:val="0"/>
            </w:pPr>
            <w:r>
              <w:rPr>
                <w:sz w:val="24"/>
              </w:rPr>
            </w:r>
          </w:p>
        </w:tc>
        <w:tc>
          <w:tcPr>
            <w:tcW w:w="3628" w:type="dxa"/>
          </w:tcPr>
          <w:p>
            <w:pPr>
              <w:pStyle w:val="0"/>
            </w:pPr>
            <w:r>
              <w:rPr>
                <w:sz w:val="24"/>
              </w:rPr>
            </w:r>
          </w:p>
        </w:tc>
        <w:tc>
          <w:tcPr>
            <w:tcW w:w="1304" w:type="dxa"/>
          </w:tcPr>
          <w:p>
            <w:pPr>
              <w:pStyle w:val="0"/>
            </w:pPr>
            <w:r>
              <w:rPr>
                <w:sz w:val="24"/>
              </w:rPr>
            </w:r>
          </w:p>
        </w:tc>
      </w:tr>
      <w:tr>
        <w:tc>
          <w:tcPr>
            <w:tcW w:w="1701" w:type="dxa"/>
          </w:tcPr>
          <w:p>
            <w:pPr>
              <w:pStyle w:val="0"/>
            </w:pPr>
            <w:r>
              <w:rPr>
                <w:sz w:val="24"/>
              </w:rPr>
            </w:r>
          </w:p>
        </w:tc>
        <w:tc>
          <w:tcPr>
            <w:tcW w:w="2438" w:type="dxa"/>
          </w:tcPr>
          <w:p>
            <w:pPr>
              <w:pStyle w:val="0"/>
            </w:pPr>
            <w:r>
              <w:rPr>
                <w:sz w:val="24"/>
              </w:rPr>
            </w:r>
          </w:p>
        </w:tc>
        <w:tc>
          <w:tcPr>
            <w:tcW w:w="3628" w:type="dxa"/>
          </w:tcPr>
          <w:p>
            <w:pPr>
              <w:pStyle w:val="0"/>
            </w:pPr>
            <w:r>
              <w:rPr>
                <w:sz w:val="24"/>
              </w:rPr>
            </w:r>
          </w:p>
        </w:tc>
        <w:tc>
          <w:tcPr>
            <w:tcW w:w="1304" w:type="dxa"/>
          </w:tcPr>
          <w:p>
            <w:pPr>
              <w:pStyle w:val="0"/>
            </w:pPr>
            <w:r>
              <w:rPr>
                <w:sz w:val="24"/>
              </w:rPr>
            </w:r>
          </w:p>
        </w:tc>
      </w:tr>
      <w:tr>
        <w:tc>
          <w:tcPr>
            <w:tcW w:w="1701" w:type="dxa"/>
          </w:tcPr>
          <w:p>
            <w:pPr>
              <w:pStyle w:val="0"/>
            </w:pPr>
            <w:r>
              <w:rPr>
                <w:sz w:val="24"/>
              </w:rPr>
            </w:r>
          </w:p>
        </w:tc>
        <w:tc>
          <w:tcPr>
            <w:tcW w:w="2438" w:type="dxa"/>
          </w:tcPr>
          <w:p>
            <w:pPr>
              <w:pStyle w:val="0"/>
            </w:pPr>
            <w:r>
              <w:rPr>
                <w:sz w:val="24"/>
              </w:rPr>
            </w:r>
          </w:p>
        </w:tc>
        <w:tc>
          <w:tcPr>
            <w:tcW w:w="3628" w:type="dxa"/>
          </w:tcPr>
          <w:p>
            <w:pPr>
              <w:pStyle w:val="0"/>
            </w:pPr>
            <w:r>
              <w:rPr>
                <w:sz w:val="24"/>
              </w:rPr>
            </w:r>
          </w:p>
        </w:tc>
        <w:tc>
          <w:tcPr>
            <w:tcW w:w="1304" w:type="dxa"/>
          </w:tcPr>
          <w:p>
            <w:pPr>
              <w:pStyle w:val="0"/>
            </w:pPr>
            <w:r>
              <w:rPr>
                <w:sz w:val="24"/>
              </w:rPr>
            </w:r>
          </w:p>
        </w:tc>
      </w:tr>
      <w:tr>
        <w:tc>
          <w:tcPr>
            <w:tcW w:w="1701" w:type="dxa"/>
          </w:tcPr>
          <w:p>
            <w:pPr>
              <w:pStyle w:val="0"/>
            </w:pPr>
            <w:r>
              <w:rPr>
                <w:sz w:val="24"/>
              </w:rPr>
            </w:r>
          </w:p>
        </w:tc>
        <w:tc>
          <w:tcPr>
            <w:tcW w:w="2438" w:type="dxa"/>
          </w:tcPr>
          <w:p>
            <w:pPr>
              <w:pStyle w:val="0"/>
            </w:pPr>
            <w:r>
              <w:rPr>
                <w:sz w:val="24"/>
              </w:rPr>
            </w:r>
          </w:p>
        </w:tc>
        <w:tc>
          <w:tcPr>
            <w:tcW w:w="3628" w:type="dxa"/>
          </w:tcPr>
          <w:p>
            <w:pPr>
              <w:pStyle w:val="0"/>
            </w:pPr>
            <w:r>
              <w:rPr>
                <w:sz w:val="24"/>
              </w:rPr>
            </w:r>
          </w:p>
        </w:tc>
        <w:tc>
          <w:tcPr>
            <w:tcW w:w="1304" w:type="dxa"/>
          </w:tcPr>
          <w:p>
            <w:pPr>
              <w:pStyle w:val="0"/>
            </w:pPr>
            <w:r>
              <w:rPr>
                <w:sz w:val="24"/>
              </w:rPr>
            </w:r>
          </w:p>
        </w:tc>
      </w:tr>
      <w:tr>
        <w:tc>
          <w:tcPr>
            <w:tcW w:w="1701" w:type="dxa"/>
          </w:tcPr>
          <w:p>
            <w:pPr>
              <w:pStyle w:val="0"/>
            </w:pPr>
            <w:r>
              <w:rPr>
                <w:sz w:val="24"/>
              </w:rPr>
            </w:r>
          </w:p>
        </w:tc>
        <w:tc>
          <w:tcPr>
            <w:tcW w:w="2438" w:type="dxa"/>
          </w:tcPr>
          <w:p>
            <w:pPr>
              <w:pStyle w:val="0"/>
            </w:pPr>
            <w:r>
              <w:rPr>
                <w:sz w:val="24"/>
              </w:rPr>
            </w:r>
          </w:p>
        </w:tc>
        <w:tc>
          <w:tcPr>
            <w:tcW w:w="3628" w:type="dxa"/>
          </w:tcPr>
          <w:p>
            <w:pPr>
              <w:pStyle w:val="0"/>
            </w:pPr>
            <w:r>
              <w:rPr>
                <w:sz w:val="24"/>
              </w:rPr>
            </w:r>
          </w:p>
        </w:tc>
        <w:tc>
          <w:tcPr>
            <w:tcW w:w="1304" w:type="dxa"/>
          </w:tcPr>
          <w:p>
            <w:pPr>
              <w:pStyle w:val="0"/>
            </w:pPr>
            <w:r>
              <w:rPr>
                <w:sz w:val="24"/>
              </w:rPr>
            </w:r>
          </w:p>
        </w:tc>
      </w:tr>
      <w:tr>
        <w:tc>
          <w:tcPr>
            <w:tcW w:w="1701" w:type="dxa"/>
          </w:tcPr>
          <w:p>
            <w:pPr>
              <w:pStyle w:val="0"/>
            </w:pPr>
            <w:r>
              <w:rPr>
                <w:sz w:val="24"/>
              </w:rPr>
            </w:r>
          </w:p>
        </w:tc>
        <w:tc>
          <w:tcPr>
            <w:tcW w:w="2438" w:type="dxa"/>
          </w:tcPr>
          <w:p>
            <w:pPr>
              <w:pStyle w:val="0"/>
            </w:pPr>
            <w:r>
              <w:rPr>
                <w:sz w:val="24"/>
              </w:rPr>
            </w:r>
          </w:p>
        </w:tc>
        <w:tc>
          <w:tcPr>
            <w:tcW w:w="3628" w:type="dxa"/>
          </w:tcPr>
          <w:p>
            <w:pPr>
              <w:pStyle w:val="0"/>
            </w:pPr>
            <w:r>
              <w:rPr>
                <w:sz w:val="24"/>
              </w:rPr>
            </w:r>
          </w:p>
        </w:tc>
        <w:tc>
          <w:tcPr>
            <w:tcW w:w="1304" w:type="dxa"/>
          </w:tcPr>
          <w:p>
            <w:pPr>
              <w:pStyle w:val="0"/>
            </w:pPr>
            <w:r>
              <w:rPr>
                <w:sz w:val="24"/>
              </w:rPr>
            </w:r>
          </w:p>
        </w:tc>
      </w:tr>
      <w:tr>
        <w:tc>
          <w:tcPr>
            <w:tcW w:w="1701" w:type="dxa"/>
          </w:tcPr>
          <w:p>
            <w:pPr>
              <w:pStyle w:val="0"/>
            </w:pPr>
            <w:r>
              <w:rPr>
                <w:sz w:val="24"/>
              </w:rPr>
            </w:r>
          </w:p>
        </w:tc>
        <w:tc>
          <w:tcPr>
            <w:tcW w:w="2438" w:type="dxa"/>
          </w:tcPr>
          <w:p>
            <w:pPr>
              <w:pStyle w:val="0"/>
            </w:pPr>
            <w:r>
              <w:rPr>
                <w:sz w:val="24"/>
              </w:rPr>
            </w:r>
          </w:p>
        </w:tc>
        <w:tc>
          <w:tcPr>
            <w:tcW w:w="3628" w:type="dxa"/>
          </w:tcPr>
          <w:p>
            <w:pPr>
              <w:pStyle w:val="0"/>
            </w:pPr>
            <w:r>
              <w:rPr>
                <w:sz w:val="24"/>
              </w:rPr>
            </w:r>
          </w:p>
        </w:tc>
        <w:tc>
          <w:tcPr>
            <w:tcW w:w="1304" w:type="dxa"/>
          </w:tcPr>
          <w:p>
            <w:pPr>
              <w:pStyle w:val="0"/>
            </w:pPr>
            <w:r>
              <w:rPr>
                <w:sz w:val="24"/>
              </w:rPr>
            </w:r>
          </w:p>
        </w:tc>
      </w:tr>
      <w:tr>
        <w:tc>
          <w:tcPr>
            <w:tcW w:w="1701" w:type="dxa"/>
          </w:tcPr>
          <w:p>
            <w:pPr>
              <w:pStyle w:val="0"/>
              <w:jc w:val="center"/>
            </w:pPr>
            <w:r>
              <w:rPr>
                <w:sz w:val="24"/>
              </w:rPr>
              <w:t xml:space="preserve">N Задания</w:t>
            </w:r>
          </w:p>
        </w:tc>
        <w:tc>
          <w:tcPr>
            <w:gridSpan w:val="3"/>
            <w:tcW w:w="7370" w:type="dxa"/>
          </w:tcPr>
          <w:p>
            <w:pPr>
              <w:pStyle w:val="0"/>
              <w:jc w:val="center"/>
            </w:pPr>
            <w:r>
              <w:rPr>
                <w:sz w:val="24"/>
              </w:rPr>
              <w:t xml:space="preserve">Наименование задания</w:t>
            </w:r>
          </w:p>
        </w:tc>
      </w:tr>
      <w:tr>
        <w:tc>
          <w:tcPr>
            <w:tcW w:w="1701" w:type="dxa"/>
          </w:tcPr>
          <w:p>
            <w:pPr>
              <w:pStyle w:val="0"/>
              <w:jc w:val="center"/>
            </w:pPr>
            <w:r>
              <w:rPr>
                <w:sz w:val="24"/>
              </w:rPr>
              <w:t xml:space="preserve">Задание n</w:t>
            </w:r>
          </w:p>
        </w:tc>
        <w:tc>
          <w:tcPr>
            <w:gridSpan w:val="3"/>
            <w:tcW w:w="7370" w:type="dxa"/>
          </w:tcPr>
          <w:p>
            <w:pPr>
              <w:pStyle w:val="0"/>
            </w:pPr>
            <w:r>
              <w:rPr>
                <w:sz w:val="24"/>
              </w:rPr>
            </w:r>
          </w:p>
        </w:tc>
      </w:tr>
      <w:tr>
        <w:tc>
          <w:tcPr>
            <w:tcW w:w="1701" w:type="dxa"/>
          </w:tcPr>
          <w:p>
            <w:pPr>
              <w:pStyle w:val="0"/>
              <w:jc w:val="center"/>
            </w:pPr>
            <w:r>
              <w:rPr>
                <w:sz w:val="24"/>
              </w:rPr>
              <w:t xml:space="preserve">Задание n</w:t>
            </w:r>
          </w:p>
        </w:tc>
        <w:tc>
          <w:tcPr>
            <w:gridSpan w:val="3"/>
            <w:tcW w:w="7370" w:type="dxa"/>
          </w:tcPr>
          <w:p>
            <w:pPr>
              <w:pStyle w:val="0"/>
            </w:pPr>
            <w:r>
              <w:rPr>
                <w:sz w:val="24"/>
              </w:rPr>
            </w:r>
          </w:p>
        </w:tc>
      </w:tr>
      <w:tr>
        <w:tc>
          <w:tcPr>
            <w:tcW w:w="1701" w:type="dxa"/>
          </w:tcPr>
          <w:p>
            <w:pPr>
              <w:pStyle w:val="0"/>
              <w:jc w:val="center"/>
            </w:pPr>
            <w:r>
              <w:rPr>
                <w:sz w:val="24"/>
              </w:rPr>
              <w:t xml:space="preserve">Задание n</w:t>
            </w:r>
          </w:p>
        </w:tc>
        <w:tc>
          <w:tcPr>
            <w:gridSpan w:val="3"/>
            <w:tcW w:w="7370" w:type="dxa"/>
          </w:tcPr>
          <w:p>
            <w:pPr>
              <w:pStyle w:val="0"/>
            </w:pPr>
            <w:r>
              <w:rPr>
                <w:sz w:val="24"/>
              </w:rPr>
            </w:r>
          </w:p>
        </w:tc>
      </w:tr>
    </w:tbl>
    <w:p>
      <w:pPr>
        <w:pStyle w:val="0"/>
        <w:jc w:val="both"/>
      </w:pPr>
      <w:r>
        <w:rPr>
          <w:sz w:val="24"/>
        </w:rPr>
      </w:r>
    </w:p>
    <w:p>
      <w:pPr>
        <w:pStyle w:val="0"/>
        <w:ind w:firstLine="540"/>
        <w:jc w:val="both"/>
      </w:pPr>
      <w:r>
        <w:rPr>
          <w:sz w:val="24"/>
        </w:rPr>
        <w:t xml:space="preserve">--------------------------------</w:t>
      </w:r>
    </w:p>
    <w:bookmarkStart w:id="316" w:name="P316"/>
    <w:bookmarkEnd w:id="316"/>
    <w:p>
      <w:pPr>
        <w:pStyle w:val="0"/>
        <w:spacing w:before="240" w:lineRule="auto"/>
        <w:ind w:firstLine="540"/>
        <w:jc w:val="both"/>
      </w:pPr>
      <w:r>
        <w:rPr>
          <w:sz w:val="24"/>
        </w:rPr>
        <w:t xml:space="preserve">&lt;9&gt; Наименование и порядковый номер задания определяются видом аттестации и уровнем ДЭ.</w:t>
      </w:r>
    </w:p>
    <w:p>
      <w:pPr>
        <w:pStyle w:val="0"/>
        <w:jc w:val="both"/>
      </w:pPr>
      <w:r>
        <w:rPr>
          <w:sz w:val="24"/>
        </w:rPr>
      </w:r>
    </w:p>
    <w:p>
      <w:pPr>
        <w:pStyle w:val="0"/>
        <w:ind w:firstLine="540"/>
        <w:jc w:val="both"/>
      </w:pPr>
      <w:r>
        <w:rPr>
          <w:sz w:val="24"/>
        </w:rPr>
        <w:t xml:space="preserve">Распределение значений максимальных баллов (таблица N 3) зависит от вида аттестации, уровня ДЭ, составной части КИМ.</w:t>
      </w:r>
    </w:p>
    <w:p>
      <w:pPr>
        <w:pStyle w:val="0"/>
        <w:jc w:val="both"/>
      </w:pPr>
      <w:r>
        <w:rPr>
          <w:sz w:val="24"/>
        </w:rPr>
      </w:r>
    </w:p>
    <w:p>
      <w:pPr>
        <w:pStyle w:val="0"/>
        <w:jc w:val="right"/>
      </w:pPr>
      <w:r>
        <w:rPr>
          <w:sz w:val="24"/>
        </w:rPr>
        <w:t xml:space="preserve">Таблица N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70"/>
        <w:gridCol w:w="1474"/>
        <w:gridCol w:w="3742"/>
        <w:gridCol w:w="2280"/>
      </w:tblGrid>
      <w:tr>
        <w:tc>
          <w:tcPr>
            <w:tcW w:w="1570" w:type="dxa"/>
          </w:tcPr>
          <w:p>
            <w:pPr>
              <w:pStyle w:val="0"/>
              <w:jc w:val="center"/>
            </w:pPr>
            <w:r>
              <w:rPr>
                <w:sz w:val="24"/>
              </w:rPr>
              <w:t xml:space="preserve">Вид аттестации</w:t>
            </w:r>
          </w:p>
        </w:tc>
        <w:tc>
          <w:tcPr>
            <w:tcW w:w="1474" w:type="dxa"/>
          </w:tcPr>
          <w:p>
            <w:pPr>
              <w:pStyle w:val="0"/>
              <w:jc w:val="center"/>
            </w:pPr>
            <w:r>
              <w:rPr>
                <w:sz w:val="24"/>
              </w:rPr>
              <w:t xml:space="preserve">Уровень ДЭ</w:t>
            </w:r>
          </w:p>
        </w:tc>
        <w:tc>
          <w:tcPr>
            <w:tcW w:w="3742" w:type="dxa"/>
          </w:tcPr>
          <w:p>
            <w:pPr>
              <w:pStyle w:val="0"/>
              <w:jc w:val="center"/>
            </w:pPr>
            <w:r>
              <w:rPr>
                <w:sz w:val="24"/>
              </w:rPr>
              <w:t xml:space="preserve">Составная часть КИМ</w:t>
            </w:r>
          </w:p>
        </w:tc>
        <w:tc>
          <w:tcPr>
            <w:tcW w:w="2280" w:type="dxa"/>
          </w:tcPr>
          <w:p>
            <w:pPr>
              <w:pStyle w:val="0"/>
              <w:jc w:val="center"/>
            </w:pPr>
            <w:r>
              <w:rPr>
                <w:sz w:val="24"/>
              </w:rPr>
              <w:t xml:space="preserve">Максимальный балл</w:t>
            </w:r>
          </w:p>
        </w:tc>
      </w:tr>
      <w:tr>
        <w:tc>
          <w:tcPr>
            <w:tcW w:w="1570" w:type="dxa"/>
            <w:vAlign w:val="center"/>
          </w:tcPr>
          <w:p>
            <w:pPr>
              <w:pStyle w:val="0"/>
              <w:jc w:val="center"/>
            </w:pPr>
            <w:r>
              <w:rPr>
                <w:sz w:val="24"/>
              </w:rPr>
              <w:t xml:space="preserve">ПА</w:t>
            </w:r>
          </w:p>
        </w:tc>
        <w:tc>
          <w:tcPr>
            <w:tcW w:w="1474" w:type="dxa"/>
            <w:vAlign w:val="center"/>
          </w:tcPr>
          <w:p>
            <w:pPr>
              <w:pStyle w:val="0"/>
              <w:jc w:val="center"/>
            </w:pPr>
            <w:r>
              <w:rPr>
                <w:sz w:val="24"/>
              </w:rPr>
              <w:t xml:space="preserve">ДЭ</w:t>
            </w:r>
          </w:p>
        </w:tc>
        <w:tc>
          <w:tcPr>
            <w:tcW w:w="3742" w:type="dxa"/>
            <w:vAlign w:val="center"/>
            <w:vMerge w:val="restart"/>
          </w:tcPr>
          <w:p>
            <w:pPr>
              <w:pStyle w:val="0"/>
              <w:jc w:val="center"/>
            </w:pPr>
            <w:r>
              <w:rPr>
                <w:sz w:val="24"/>
              </w:rPr>
              <w:t xml:space="preserve">Инвариантная часть</w:t>
            </w:r>
          </w:p>
        </w:tc>
        <w:tc>
          <w:tcPr>
            <w:tcW w:w="2280" w:type="dxa"/>
            <w:vAlign w:val="center"/>
          </w:tcPr>
          <w:p>
            <w:pPr>
              <w:pStyle w:val="0"/>
              <w:jc w:val="center"/>
            </w:pPr>
            <w:r>
              <w:rPr>
                <w:sz w:val="24"/>
              </w:rPr>
              <w:t xml:space="preserve">25 из 25</w:t>
            </w:r>
          </w:p>
        </w:tc>
      </w:tr>
      <w:tr>
        <w:tc>
          <w:tcPr>
            <w:tcW w:w="1570" w:type="dxa"/>
            <w:vAlign w:val="center"/>
          </w:tcPr>
          <w:p>
            <w:pPr>
              <w:pStyle w:val="0"/>
              <w:jc w:val="center"/>
            </w:pPr>
            <w:r>
              <w:rPr>
                <w:sz w:val="24"/>
              </w:rPr>
              <w:t xml:space="preserve">ГИА</w:t>
            </w:r>
          </w:p>
        </w:tc>
        <w:tc>
          <w:tcPr>
            <w:tcW w:w="1474" w:type="dxa"/>
            <w:vAlign w:val="center"/>
          </w:tcPr>
          <w:p>
            <w:pPr>
              <w:pStyle w:val="0"/>
              <w:jc w:val="center"/>
            </w:pPr>
            <w:r>
              <w:rPr>
                <w:sz w:val="24"/>
              </w:rPr>
              <w:t xml:space="preserve">ДЭ БУ</w:t>
            </w:r>
          </w:p>
        </w:tc>
        <w:tc>
          <w:tcPr>
            <w:vMerge w:val="continue"/>
          </w:tcPr>
          <w:p/>
        </w:tc>
        <w:tc>
          <w:tcPr>
            <w:tcW w:w="2280" w:type="dxa"/>
            <w:vAlign w:val="center"/>
          </w:tcPr>
          <w:p>
            <w:pPr>
              <w:pStyle w:val="0"/>
              <w:jc w:val="center"/>
            </w:pPr>
            <w:r>
              <w:rPr>
                <w:sz w:val="24"/>
              </w:rPr>
              <w:t xml:space="preserve">75 из 75</w:t>
            </w:r>
          </w:p>
        </w:tc>
      </w:tr>
      <w:tr>
        <w:tc>
          <w:tcPr>
            <w:tcW w:w="1570" w:type="dxa"/>
            <w:vAlign w:val="center"/>
          </w:tcPr>
          <w:p>
            <w:pPr>
              <w:pStyle w:val="0"/>
              <w:jc w:val="center"/>
            </w:pPr>
            <w:r>
              <w:rPr>
                <w:sz w:val="24"/>
              </w:rPr>
              <w:t xml:space="preserve">ГИА</w:t>
            </w:r>
          </w:p>
        </w:tc>
        <w:tc>
          <w:tcPr>
            <w:tcW w:w="1474" w:type="dxa"/>
            <w:vAlign w:val="center"/>
          </w:tcPr>
          <w:p>
            <w:pPr>
              <w:pStyle w:val="0"/>
              <w:jc w:val="center"/>
            </w:pPr>
            <w:r>
              <w:rPr>
                <w:sz w:val="24"/>
              </w:rPr>
              <w:t xml:space="preserve">ДЭ ПУ</w:t>
            </w:r>
          </w:p>
        </w:tc>
        <w:tc>
          <w:tcPr>
            <w:tcW w:w="3742" w:type="dxa"/>
            <w:vAlign w:val="center"/>
          </w:tcPr>
          <w:p>
            <w:pPr>
              <w:pStyle w:val="0"/>
              <w:jc w:val="center"/>
            </w:pPr>
            <w:r>
              <w:rPr>
                <w:sz w:val="24"/>
              </w:rPr>
              <w:t xml:space="preserve">Вариативная часть</w:t>
            </w:r>
          </w:p>
        </w:tc>
        <w:tc>
          <w:tcPr>
            <w:tcW w:w="2280" w:type="dxa"/>
            <w:vAlign w:val="center"/>
          </w:tcPr>
          <w:p>
            <w:pPr>
              <w:pStyle w:val="0"/>
              <w:jc w:val="center"/>
            </w:pPr>
            <w:r>
              <w:rPr>
                <w:sz w:val="24"/>
              </w:rPr>
              <w:t xml:space="preserve">25 из 25</w:t>
            </w:r>
          </w:p>
        </w:tc>
      </w:tr>
      <w:tr>
        <w:tc>
          <w:tcPr>
            <w:tcW w:w="1570" w:type="dxa"/>
            <w:vAlign w:val="center"/>
          </w:tcPr>
          <w:p>
            <w:pPr>
              <w:pStyle w:val="0"/>
              <w:jc w:val="center"/>
            </w:pPr>
            <w:r>
              <w:rPr>
                <w:sz w:val="24"/>
              </w:rPr>
              <w:t xml:space="preserve">ГИА</w:t>
            </w:r>
          </w:p>
        </w:tc>
        <w:tc>
          <w:tcPr>
            <w:tcW w:w="1474" w:type="dxa"/>
            <w:vAlign w:val="center"/>
          </w:tcPr>
          <w:p>
            <w:pPr>
              <w:pStyle w:val="0"/>
              <w:jc w:val="center"/>
            </w:pPr>
            <w:r>
              <w:rPr>
                <w:sz w:val="24"/>
              </w:rPr>
              <w:t xml:space="preserve">ДЭ ПУ</w:t>
            </w:r>
          </w:p>
        </w:tc>
        <w:tc>
          <w:tcPr>
            <w:tcW w:w="3742" w:type="dxa"/>
            <w:vAlign w:val="center"/>
          </w:tcPr>
          <w:p>
            <w:pPr>
              <w:pStyle w:val="0"/>
              <w:jc w:val="center"/>
            </w:pPr>
            <w:r>
              <w:rPr>
                <w:sz w:val="24"/>
              </w:rPr>
              <w:t xml:space="preserve">Совокупность инвариантной и вариативной частей</w:t>
            </w:r>
          </w:p>
        </w:tc>
        <w:tc>
          <w:tcPr>
            <w:tcW w:w="2280" w:type="dxa"/>
            <w:vAlign w:val="center"/>
          </w:tcPr>
          <w:p>
            <w:pPr>
              <w:pStyle w:val="0"/>
              <w:jc w:val="center"/>
            </w:pPr>
            <w:r>
              <w:rPr>
                <w:sz w:val="24"/>
              </w:rPr>
              <w:t xml:space="preserve">100 из 100</w:t>
            </w:r>
          </w:p>
        </w:tc>
      </w:tr>
    </w:tbl>
    <w:p>
      <w:pPr>
        <w:pStyle w:val="0"/>
        <w:jc w:val="both"/>
      </w:pPr>
      <w:r>
        <w:rPr>
          <w:sz w:val="24"/>
        </w:rPr>
      </w:r>
    </w:p>
    <w:p>
      <w:pPr>
        <w:pStyle w:val="0"/>
        <w:ind w:firstLine="540"/>
        <w:jc w:val="both"/>
      </w:pPr>
      <w:r>
        <w:rPr>
          <w:sz w:val="24"/>
        </w:rPr>
        <w:t xml:space="preserve">Распределение баллов по критериям оценивания для ДЭ ПУ ВЧ в рамках ГИА представлено в таблице N 4.</w:t>
      </w:r>
    </w:p>
    <w:p>
      <w:pPr>
        <w:pStyle w:val="0"/>
        <w:jc w:val="both"/>
      </w:pPr>
      <w:r>
        <w:rPr>
          <w:sz w:val="24"/>
        </w:rPr>
      </w:r>
    </w:p>
    <w:p>
      <w:pPr>
        <w:pStyle w:val="0"/>
        <w:jc w:val="right"/>
      </w:pPr>
      <w:r>
        <w:rPr>
          <w:sz w:val="24"/>
        </w:rPr>
        <w:t xml:space="preserve">Таблица N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665"/>
        <w:gridCol w:w="4025"/>
        <w:gridCol w:w="1757"/>
      </w:tblGrid>
      <w:tr>
        <w:tc>
          <w:tcPr>
            <w:tcW w:w="624" w:type="dxa"/>
          </w:tcPr>
          <w:p>
            <w:pPr>
              <w:pStyle w:val="0"/>
              <w:jc w:val="center"/>
            </w:pPr>
            <w:r>
              <w:rPr>
                <w:sz w:val="24"/>
              </w:rPr>
              <w:t xml:space="preserve">N п/п</w:t>
            </w:r>
          </w:p>
        </w:tc>
        <w:tc>
          <w:tcPr>
            <w:tcW w:w="2665" w:type="dxa"/>
          </w:tcPr>
          <w:p>
            <w:pPr>
              <w:pStyle w:val="0"/>
              <w:jc w:val="center"/>
            </w:pPr>
            <w:r>
              <w:rPr>
                <w:sz w:val="24"/>
              </w:rPr>
              <w:t xml:space="preserve">Вид деятельности</w:t>
            </w:r>
          </w:p>
        </w:tc>
        <w:tc>
          <w:tcPr>
            <w:tcW w:w="4025" w:type="dxa"/>
          </w:tcPr>
          <w:p>
            <w:pPr>
              <w:pStyle w:val="0"/>
              <w:jc w:val="center"/>
            </w:pPr>
            <w:r>
              <w:rPr>
                <w:sz w:val="24"/>
              </w:rPr>
              <w:t xml:space="preserve">Критерий оценивания </w:t>
            </w:r>
            <w:hyperlink w:history="0" w:anchor="P366" w:tooltip="&lt;10&gt; Формулировка критерия оценивания совпадает с наименованием ПК, ОК и начинается с отглагольного существительного.">
              <w:r>
                <w:rPr>
                  <w:sz w:val="24"/>
                  <w:color w:val="0000ff"/>
                </w:rPr>
                <w:t xml:space="preserve">&lt;10&gt;</w:t>
              </w:r>
            </w:hyperlink>
          </w:p>
        </w:tc>
        <w:tc>
          <w:tcPr>
            <w:tcW w:w="1757" w:type="dxa"/>
          </w:tcPr>
          <w:p>
            <w:pPr>
              <w:pStyle w:val="0"/>
              <w:jc w:val="center"/>
            </w:pPr>
            <w:r>
              <w:rPr>
                <w:sz w:val="24"/>
              </w:rPr>
              <w:t xml:space="preserve">Баллы</w:t>
            </w:r>
          </w:p>
        </w:tc>
      </w:tr>
      <w:tr>
        <w:tc>
          <w:tcPr>
            <w:tcW w:w="624" w:type="dxa"/>
          </w:tcPr>
          <w:p>
            <w:pPr>
              <w:pStyle w:val="0"/>
            </w:pPr>
            <w:r>
              <w:rPr>
                <w:sz w:val="24"/>
              </w:rPr>
            </w:r>
          </w:p>
        </w:tc>
        <w:tc>
          <w:tcPr>
            <w:tcW w:w="2665" w:type="dxa"/>
          </w:tcPr>
          <w:p>
            <w:pPr>
              <w:pStyle w:val="0"/>
            </w:pPr>
            <w:r>
              <w:rPr>
                <w:sz w:val="24"/>
              </w:rPr>
            </w:r>
          </w:p>
        </w:tc>
        <w:tc>
          <w:tcPr>
            <w:tcW w:w="4025" w:type="dxa"/>
          </w:tcPr>
          <w:p>
            <w:pPr>
              <w:pStyle w:val="0"/>
            </w:pPr>
            <w:r>
              <w:rPr>
                <w:sz w:val="24"/>
              </w:rPr>
            </w:r>
          </w:p>
        </w:tc>
        <w:tc>
          <w:tcPr>
            <w:tcW w:w="1757" w:type="dxa"/>
          </w:tcPr>
          <w:p>
            <w:pPr>
              <w:pStyle w:val="0"/>
              <w:jc w:val="center"/>
            </w:pPr>
            <w:r>
              <w:rPr>
                <w:sz w:val="24"/>
              </w:rPr>
              <w:t xml:space="preserve">0,00</w:t>
            </w:r>
          </w:p>
        </w:tc>
      </w:tr>
      <w:tr>
        <w:tc>
          <w:tcPr>
            <w:tcW w:w="624" w:type="dxa"/>
          </w:tcPr>
          <w:p>
            <w:pPr>
              <w:pStyle w:val="0"/>
            </w:pPr>
            <w:r>
              <w:rPr>
                <w:sz w:val="24"/>
              </w:rPr>
            </w:r>
          </w:p>
        </w:tc>
        <w:tc>
          <w:tcPr>
            <w:tcW w:w="2665" w:type="dxa"/>
          </w:tcPr>
          <w:p>
            <w:pPr>
              <w:pStyle w:val="0"/>
            </w:pPr>
            <w:r>
              <w:rPr>
                <w:sz w:val="24"/>
              </w:rPr>
            </w:r>
          </w:p>
        </w:tc>
        <w:tc>
          <w:tcPr>
            <w:tcW w:w="4025" w:type="dxa"/>
          </w:tcPr>
          <w:p>
            <w:pPr>
              <w:pStyle w:val="0"/>
            </w:pPr>
            <w:r>
              <w:rPr>
                <w:sz w:val="24"/>
              </w:rPr>
            </w:r>
          </w:p>
        </w:tc>
        <w:tc>
          <w:tcPr>
            <w:tcW w:w="1757" w:type="dxa"/>
          </w:tcPr>
          <w:p>
            <w:pPr>
              <w:pStyle w:val="0"/>
              <w:jc w:val="center"/>
            </w:pPr>
            <w:r>
              <w:rPr>
                <w:sz w:val="24"/>
              </w:rPr>
              <w:t xml:space="preserve">0,00</w:t>
            </w:r>
          </w:p>
        </w:tc>
      </w:tr>
      <w:tr>
        <w:tc>
          <w:tcPr>
            <w:tcW w:w="624" w:type="dxa"/>
          </w:tcPr>
          <w:p>
            <w:pPr>
              <w:pStyle w:val="0"/>
            </w:pPr>
            <w:r>
              <w:rPr>
                <w:sz w:val="24"/>
              </w:rPr>
            </w:r>
          </w:p>
        </w:tc>
        <w:tc>
          <w:tcPr>
            <w:tcW w:w="2665" w:type="dxa"/>
          </w:tcPr>
          <w:p>
            <w:pPr>
              <w:pStyle w:val="0"/>
            </w:pPr>
            <w:r>
              <w:rPr>
                <w:sz w:val="24"/>
              </w:rPr>
            </w:r>
          </w:p>
        </w:tc>
        <w:tc>
          <w:tcPr>
            <w:tcW w:w="4025" w:type="dxa"/>
          </w:tcPr>
          <w:p>
            <w:pPr>
              <w:pStyle w:val="0"/>
            </w:pPr>
            <w:r>
              <w:rPr>
                <w:sz w:val="24"/>
              </w:rPr>
            </w:r>
          </w:p>
        </w:tc>
        <w:tc>
          <w:tcPr>
            <w:tcW w:w="1757" w:type="dxa"/>
          </w:tcPr>
          <w:p>
            <w:pPr>
              <w:pStyle w:val="0"/>
              <w:jc w:val="center"/>
            </w:pPr>
            <w:r>
              <w:rPr>
                <w:sz w:val="24"/>
              </w:rPr>
              <w:t xml:space="preserve">0,00</w:t>
            </w:r>
          </w:p>
        </w:tc>
      </w:tr>
      <w:tr>
        <w:tc>
          <w:tcPr>
            <w:gridSpan w:val="3"/>
            <w:tcW w:w="7314" w:type="dxa"/>
          </w:tcPr>
          <w:p>
            <w:pPr>
              <w:pStyle w:val="0"/>
              <w:jc w:val="right"/>
            </w:pPr>
            <w:r>
              <w:rPr>
                <w:sz w:val="24"/>
              </w:rPr>
              <w:t xml:space="preserve">ВСЕГО (вариативная часть) </w:t>
            </w:r>
            <w:hyperlink w:history="0" w:anchor="P367" w:tooltip="&lt;11&gt; Критерии оценивания вариативной части КИМ разрабатываются образовательной организацией самостоятельно с учетом квалификационных требований, заявленных работодателем (работодателями), участвующим в управлении образовательной организацией и в организации образовательной деятельности на всех этапах разработки и реализации образовательных программ среднего профессионального образования, включая практическую подготовку, в целях кадрового обеспечения соответствующих отраслей экономики и социальной сферы.">
              <w:r>
                <w:rPr>
                  <w:sz w:val="24"/>
                  <w:color w:val="0000ff"/>
                </w:rPr>
                <w:t xml:space="preserve">&lt;11&gt;</w:t>
              </w:r>
            </w:hyperlink>
          </w:p>
        </w:tc>
        <w:tc>
          <w:tcPr>
            <w:tcW w:w="1757" w:type="dxa"/>
          </w:tcPr>
          <w:p>
            <w:pPr>
              <w:pStyle w:val="0"/>
              <w:jc w:val="center"/>
            </w:pPr>
            <w:r>
              <w:rPr>
                <w:sz w:val="24"/>
              </w:rPr>
              <w:t xml:space="preserve">25,00</w:t>
            </w:r>
          </w:p>
        </w:tc>
      </w:tr>
    </w:tbl>
    <w:p>
      <w:pPr>
        <w:pStyle w:val="0"/>
        <w:jc w:val="both"/>
      </w:pPr>
      <w:r>
        <w:rPr>
          <w:sz w:val="24"/>
        </w:rPr>
      </w:r>
    </w:p>
    <w:p>
      <w:pPr>
        <w:pStyle w:val="0"/>
        <w:ind w:firstLine="540"/>
        <w:jc w:val="both"/>
      </w:pPr>
      <w:r>
        <w:rPr>
          <w:sz w:val="24"/>
        </w:rPr>
        <w:t xml:space="preserve">--------------------------------</w:t>
      </w:r>
    </w:p>
    <w:bookmarkStart w:id="366" w:name="P366"/>
    <w:bookmarkEnd w:id="366"/>
    <w:p>
      <w:pPr>
        <w:pStyle w:val="0"/>
        <w:spacing w:before="240" w:lineRule="auto"/>
        <w:ind w:firstLine="540"/>
        <w:jc w:val="both"/>
      </w:pPr>
      <w:r>
        <w:rPr>
          <w:sz w:val="24"/>
        </w:rPr>
        <w:t xml:space="preserve">&lt;10&gt; Формулировка критерия оценивания совпадает с наименованием ПК, ОК и начинается с отглагольного существительного.</w:t>
      </w:r>
    </w:p>
    <w:bookmarkStart w:id="367" w:name="P367"/>
    <w:bookmarkEnd w:id="367"/>
    <w:p>
      <w:pPr>
        <w:pStyle w:val="0"/>
        <w:spacing w:before="240" w:lineRule="auto"/>
        <w:ind w:firstLine="540"/>
        <w:jc w:val="both"/>
      </w:pPr>
      <w:r>
        <w:rPr>
          <w:sz w:val="24"/>
        </w:rPr>
        <w:t xml:space="preserve">&lt;11&gt; Критерии оценивания вариативной части КИМ разрабатываются образовательной организацией самостоятельно с учетом квалификационных требований, заявленных работодателем (работодателями), участвующим в управлении образовательной организацией и в организации образовательной деятельности на всех этапах разработки и реализации образовательных программ среднего профессионального образования, включая практическую подготовку, в целях кадрового обеспечения соответствующих отраслей экономики и социальной сферы.</w:t>
      </w:r>
    </w:p>
    <w:p>
      <w:pPr>
        <w:pStyle w:val="0"/>
        <w:jc w:val="both"/>
      </w:pPr>
      <w:r>
        <w:rPr>
          <w:sz w:val="24"/>
        </w:rPr>
      </w:r>
    </w:p>
    <w:p>
      <w:pPr>
        <w:pStyle w:val="0"/>
        <w:outlineLvl w:val="3"/>
        <w:jc w:val="center"/>
      </w:pPr>
      <w:r>
        <w:rPr>
          <w:sz w:val="24"/>
        </w:rPr>
        <w:t xml:space="preserve">2.2 Перечень оборудования и оснащения, расходных материалов,</w:t>
      </w:r>
    </w:p>
    <w:p>
      <w:pPr>
        <w:pStyle w:val="0"/>
        <w:jc w:val="center"/>
      </w:pPr>
      <w:r>
        <w:rPr>
          <w:sz w:val="24"/>
        </w:rPr>
        <w:t xml:space="preserve">средств обучения и воспитания</w:t>
      </w:r>
    </w:p>
    <w:p>
      <w:pPr>
        <w:pStyle w:val="0"/>
        <w:jc w:val="both"/>
      </w:pPr>
      <w:r>
        <w:rPr>
          <w:sz w:val="24"/>
        </w:rPr>
      </w:r>
    </w:p>
    <w:p>
      <w:pPr>
        <w:pStyle w:val="0"/>
        <w:ind w:firstLine="540"/>
        <w:jc w:val="both"/>
      </w:pPr>
      <w:r>
        <w:rPr>
          <w:sz w:val="24"/>
        </w:rPr>
        <w:t xml:space="preserve">Перечень оборудования и оснащения, расходных материалов, средств обучения и воспитания для проведения ДЭ ПУ ВЧ представлен в таблице N 5.</w:t>
      </w:r>
    </w:p>
    <w:p>
      <w:pPr>
        <w:pStyle w:val="0"/>
        <w:jc w:val="both"/>
      </w:pPr>
      <w:r>
        <w:rPr>
          <w:sz w:val="24"/>
        </w:rPr>
      </w:r>
    </w:p>
    <w:p>
      <w:pPr>
        <w:pStyle w:val="0"/>
        <w:jc w:val="right"/>
      </w:pPr>
      <w:r>
        <w:rPr>
          <w:sz w:val="24"/>
        </w:rPr>
        <w:t xml:space="preserve">Таблица N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2154"/>
        <w:gridCol w:w="1871"/>
        <w:gridCol w:w="1134"/>
        <w:gridCol w:w="1361"/>
        <w:gridCol w:w="1361"/>
        <w:gridCol w:w="737"/>
      </w:tblGrid>
      <w:tr>
        <w:tc>
          <w:tcPr>
            <w:gridSpan w:val="7"/>
            <w:tcW w:w="9015" w:type="dxa"/>
          </w:tcPr>
          <w:p>
            <w:pPr>
              <w:pStyle w:val="0"/>
              <w:jc w:val="center"/>
            </w:pPr>
            <w:r>
              <w:rPr>
                <w:sz w:val="24"/>
              </w:rPr>
              <w:t xml:space="preserve">1. Зоны площадки</w:t>
            </w:r>
          </w:p>
        </w:tc>
      </w:tr>
      <w:tr>
        <w:tc>
          <w:tcPr>
            <w:gridSpan w:val="4"/>
            <w:tcW w:w="5556" w:type="dxa"/>
          </w:tcPr>
          <w:p>
            <w:pPr>
              <w:pStyle w:val="0"/>
              <w:jc w:val="center"/>
            </w:pPr>
            <w:r>
              <w:rPr>
                <w:sz w:val="24"/>
              </w:rPr>
              <w:t xml:space="preserve">Наименование зоны площадки</w:t>
            </w:r>
          </w:p>
        </w:tc>
        <w:tc>
          <w:tcPr>
            <w:gridSpan w:val="3"/>
            <w:tcW w:w="3459" w:type="dxa"/>
          </w:tcPr>
          <w:p>
            <w:pPr>
              <w:pStyle w:val="0"/>
              <w:jc w:val="center"/>
            </w:pPr>
            <w:r>
              <w:rPr>
                <w:sz w:val="24"/>
              </w:rPr>
              <w:t xml:space="preserve">Код зоны площадки</w:t>
            </w:r>
          </w:p>
        </w:tc>
      </w:tr>
      <w:tr>
        <w:tc>
          <w:tcPr>
            <w:gridSpan w:val="4"/>
            <w:tcW w:w="5556" w:type="dxa"/>
          </w:tcPr>
          <w:p>
            <w:pPr>
              <w:pStyle w:val="0"/>
            </w:pPr>
            <w:r>
              <w:rPr>
                <w:sz w:val="24"/>
              </w:rPr>
              <w:t xml:space="preserve">Рабочее место участника</w:t>
            </w:r>
          </w:p>
        </w:tc>
        <w:tc>
          <w:tcPr>
            <w:gridSpan w:val="3"/>
            <w:tcW w:w="3459" w:type="dxa"/>
          </w:tcPr>
          <w:p>
            <w:pPr>
              <w:pStyle w:val="0"/>
              <w:jc w:val="center"/>
            </w:pPr>
            <w:r>
              <w:rPr>
                <w:sz w:val="24"/>
              </w:rPr>
              <w:t xml:space="preserve">А</w:t>
            </w:r>
          </w:p>
        </w:tc>
      </w:tr>
      <w:tr>
        <w:tc>
          <w:tcPr>
            <w:gridSpan w:val="4"/>
            <w:tcW w:w="5556" w:type="dxa"/>
          </w:tcPr>
          <w:p>
            <w:pPr>
              <w:pStyle w:val="0"/>
            </w:pPr>
            <w:r>
              <w:rPr>
                <w:sz w:val="24"/>
              </w:rPr>
              <w:t xml:space="preserve">Общая зона</w:t>
            </w:r>
          </w:p>
        </w:tc>
        <w:tc>
          <w:tcPr>
            <w:gridSpan w:val="3"/>
            <w:tcW w:w="3459" w:type="dxa"/>
          </w:tcPr>
          <w:p>
            <w:pPr>
              <w:pStyle w:val="0"/>
              <w:jc w:val="center"/>
            </w:pPr>
            <w:r>
              <w:rPr>
                <w:sz w:val="24"/>
              </w:rPr>
              <w:t xml:space="preserve">Б</w:t>
            </w:r>
          </w:p>
        </w:tc>
      </w:tr>
      <w:tr>
        <w:tc>
          <w:tcPr>
            <w:gridSpan w:val="4"/>
            <w:tcW w:w="5556" w:type="dxa"/>
          </w:tcPr>
          <w:p>
            <w:pPr>
              <w:pStyle w:val="0"/>
            </w:pPr>
            <w:r>
              <w:rPr>
                <w:sz w:val="24"/>
              </w:rPr>
              <w:t xml:space="preserve">Рабочее место экспертов/Администратора центра проведения экзамена</w:t>
            </w:r>
          </w:p>
        </w:tc>
        <w:tc>
          <w:tcPr>
            <w:gridSpan w:val="3"/>
            <w:tcW w:w="3459" w:type="dxa"/>
          </w:tcPr>
          <w:p>
            <w:pPr>
              <w:pStyle w:val="0"/>
              <w:jc w:val="center"/>
            </w:pPr>
            <w:r>
              <w:rPr>
                <w:sz w:val="24"/>
              </w:rPr>
              <w:t xml:space="preserve">В</w:t>
            </w:r>
          </w:p>
        </w:tc>
      </w:tr>
      <w:tr>
        <w:tc>
          <w:tcPr>
            <w:gridSpan w:val="7"/>
            <w:tcW w:w="9015" w:type="dxa"/>
          </w:tcPr>
          <w:p>
            <w:pPr>
              <w:pStyle w:val="0"/>
              <w:jc w:val="center"/>
            </w:pPr>
            <w:r>
              <w:rPr>
                <w:sz w:val="24"/>
              </w:rPr>
              <w:t xml:space="preserve">2. Инфраструктура рабочего места участника ДЭ</w:t>
            </w:r>
          </w:p>
        </w:tc>
      </w:tr>
      <w:tr>
        <w:tc>
          <w:tcPr>
            <w:tcW w:w="397" w:type="dxa"/>
          </w:tcPr>
          <w:p>
            <w:pPr>
              <w:pStyle w:val="0"/>
              <w:jc w:val="center"/>
            </w:pPr>
            <w:r>
              <w:rPr>
                <w:sz w:val="24"/>
              </w:rPr>
              <w:t xml:space="preserve">N</w:t>
            </w:r>
          </w:p>
        </w:tc>
        <w:tc>
          <w:tcPr>
            <w:tcW w:w="2154" w:type="dxa"/>
          </w:tcPr>
          <w:p>
            <w:pPr>
              <w:pStyle w:val="0"/>
              <w:jc w:val="center"/>
            </w:pPr>
            <w:r>
              <w:rPr>
                <w:sz w:val="24"/>
              </w:rPr>
              <w:t xml:space="preserve">Наименование</w:t>
            </w:r>
          </w:p>
        </w:tc>
        <w:tc>
          <w:tcPr>
            <w:tcW w:w="1871" w:type="dxa"/>
          </w:tcPr>
          <w:p>
            <w:pPr>
              <w:pStyle w:val="0"/>
              <w:jc w:val="center"/>
            </w:pPr>
            <w:r>
              <w:rPr>
                <w:sz w:val="24"/>
              </w:rPr>
              <w:t xml:space="preserve">Минимальные (рамочные) технические характеристики</w:t>
            </w:r>
          </w:p>
        </w:tc>
        <w:tc>
          <w:tcPr>
            <w:tcW w:w="1134" w:type="dxa"/>
          </w:tcPr>
          <w:p>
            <w:pPr>
              <w:pStyle w:val="0"/>
              <w:jc w:val="center"/>
            </w:pPr>
            <w:hyperlink w:history="0" r:id="rId28"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с изм. и доп., вступ. в силу с 01.10.2026) {КонсультантПлюс}">
              <w:r>
                <w:rPr>
                  <w:sz w:val="24"/>
                  <w:color w:val="0000ff"/>
                </w:rPr>
                <w:t xml:space="preserve">ОКПД-2</w:t>
              </w:r>
            </w:hyperlink>
          </w:p>
        </w:tc>
        <w:tc>
          <w:tcPr>
            <w:tcW w:w="1361" w:type="dxa"/>
          </w:tcPr>
          <w:p>
            <w:pPr>
              <w:pStyle w:val="0"/>
              <w:jc w:val="center"/>
            </w:pPr>
            <w:r>
              <w:rPr>
                <w:sz w:val="24"/>
              </w:rPr>
              <w:t xml:space="preserve">Расчет кол-ва</w:t>
            </w:r>
          </w:p>
          <w:p>
            <w:pPr>
              <w:pStyle w:val="0"/>
              <w:jc w:val="center"/>
            </w:pPr>
            <w:r>
              <w:rPr>
                <w:sz w:val="24"/>
              </w:rPr>
              <w:t xml:space="preserve">(На 1 раб. место/На 1 участника)</w:t>
            </w:r>
          </w:p>
        </w:tc>
        <w:tc>
          <w:tcPr>
            <w:tcW w:w="1361" w:type="dxa"/>
          </w:tcPr>
          <w:p>
            <w:pPr>
              <w:pStyle w:val="0"/>
              <w:jc w:val="center"/>
            </w:pPr>
            <w:r>
              <w:rPr>
                <w:sz w:val="24"/>
              </w:rPr>
              <w:t xml:space="preserve">Количество для проведения ГИА ДЭ ПУ</w:t>
            </w:r>
          </w:p>
        </w:tc>
        <w:tc>
          <w:tcPr>
            <w:tcW w:w="737" w:type="dxa"/>
          </w:tcPr>
          <w:p>
            <w:pPr>
              <w:pStyle w:val="0"/>
              <w:jc w:val="center"/>
            </w:pPr>
            <w:r>
              <w:rPr>
                <w:sz w:val="24"/>
              </w:rPr>
              <w:t xml:space="preserve">Единица измерения</w:t>
            </w:r>
          </w:p>
        </w:tc>
      </w:tr>
      <w:tr>
        <w:tc>
          <w:tcPr>
            <w:gridSpan w:val="7"/>
            <w:tcW w:w="9015" w:type="dxa"/>
          </w:tcPr>
          <w:p>
            <w:pPr>
              <w:pStyle w:val="0"/>
              <w:jc w:val="center"/>
            </w:pPr>
            <w:r>
              <w:rPr>
                <w:sz w:val="24"/>
              </w:rPr>
              <w:t xml:space="preserve">Перечень оборудования</w:t>
            </w:r>
          </w:p>
        </w:tc>
      </w:tr>
      <w:tr>
        <w:tc>
          <w:tcPr>
            <w:tcW w:w="397" w:type="dxa"/>
          </w:tcPr>
          <w:p>
            <w:pPr>
              <w:pStyle w:val="0"/>
              <w:jc w:val="center"/>
            </w:pPr>
            <w:r>
              <w:rPr>
                <w:sz w:val="24"/>
              </w:rPr>
              <w:t xml:space="preserve">1.</w:t>
            </w:r>
          </w:p>
        </w:tc>
        <w:tc>
          <w:tcPr>
            <w:tcW w:w="2154" w:type="dxa"/>
          </w:tcPr>
          <w:p>
            <w:pPr>
              <w:pStyle w:val="0"/>
            </w:pPr>
            <w:r>
              <w:rPr>
                <w:sz w:val="24"/>
              </w:rPr>
              <w:t xml:space="preserve">Не требуется </w:t>
            </w:r>
            <w:hyperlink w:history="0" w:anchor="P428" w:tooltip="&lt;12&gt; Здесь и далее в соответствующих строках прописывается &quot;Не требуется&quot;, если для выполнения задания/заданий вариативной части КИМ не требуется дополнение к перечню оборудования и оснащения, расходных материалов, средств обучения и воспитания, представленному в инвариантной части КИМ.">
              <w:r>
                <w:rPr>
                  <w:sz w:val="24"/>
                  <w:color w:val="0000ff"/>
                </w:rPr>
                <w:t xml:space="preserve">&lt;12&gt;</w:t>
              </w:r>
            </w:hyperlink>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361" w:type="dxa"/>
          </w:tcPr>
          <w:p>
            <w:pPr>
              <w:pStyle w:val="0"/>
              <w:jc w:val="center"/>
            </w:pPr>
            <w:r>
              <w:rPr>
                <w:sz w:val="24"/>
              </w:rPr>
              <w:t xml:space="preserve">-</w:t>
            </w:r>
          </w:p>
        </w:tc>
        <w:tc>
          <w:tcPr>
            <w:tcW w:w="1361"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7"/>
            <w:tcW w:w="9015" w:type="dxa"/>
          </w:tcPr>
          <w:p>
            <w:pPr>
              <w:pStyle w:val="0"/>
              <w:jc w:val="center"/>
            </w:pPr>
            <w:r>
              <w:rPr>
                <w:sz w:val="24"/>
              </w:rPr>
              <w:t xml:space="preserve">Перечень инструментов</w:t>
            </w:r>
          </w:p>
        </w:tc>
      </w:tr>
      <w:tr>
        <w:tc>
          <w:tcPr>
            <w:tcW w:w="397" w:type="dxa"/>
          </w:tcPr>
          <w:p>
            <w:pPr>
              <w:pStyle w:val="0"/>
              <w:jc w:val="center"/>
            </w:pPr>
            <w:r>
              <w:rPr>
                <w:sz w:val="24"/>
              </w:rPr>
              <w:t xml:space="preserve">1.</w:t>
            </w:r>
          </w:p>
        </w:tc>
        <w:tc>
          <w:tcPr>
            <w:tcW w:w="2154"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361" w:type="dxa"/>
          </w:tcPr>
          <w:p>
            <w:pPr>
              <w:pStyle w:val="0"/>
              <w:jc w:val="center"/>
            </w:pPr>
            <w:r>
              <w:rPr>
                <w:sz w:val="24"/>
              </w:rPr>
              <w:t xml:space="preserve">-</w:t>
            </w:r>
          </w:p>
        </w:tc>
        <w:tc>
          <w:tcPr>
            <w:tcW w:w="1361"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7"/>
            <w:tcW w:w="9015" w:type="dxa"/>
          </w:tcPr>
          <w:p>
            <w:pPr>
              <w:pStyle w:val="0"/>
              <w:jc w:val="center"/>
            </w:pPr>
            <w:r>
              <w:rPr>
                <w:sz w:val="24"/>
              </w:rPr>
              <w:t xml:space="preserve">Перечень расходных материалов</w:t>
            </w:r>
          </w:p>
        </w:tc>
      </w:tr>
      <w:tr>
        <w:tc>
          <w:tcPr>
            <w:tcW w:w="397" w:type="dxa"/>
          </w:tcPr>
          <w:p>
            <w:pPr>
              <w:pStyle w:val="0"/>
              <w:jc w:val="center"/>
            </w:pPr>
            <w:r>
              <w:rPr>
                <w:sz w:val="24"/>
              </w:rPr>
              <w:t xml:space="preserve">1.</w:t>
            </w:r>
          </w:p>
        </w:tc>
        <w:tc>
          <w:tcPr>
            <w:tcW w:w="2154"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361" w:type="dxa"/>
          </w:tcPr>
          <w:p>
            <w:pPr>
              <w:pStyle w:val="0"/>
              <w:jc w:val="center"/>
            </w:pPr>
            <w:r>
              <w:rPr>
                <w:sz w:val="24"/>
              </w:rPr>
              <w:t xml:space="preserve">-</w:t>
            </w:r>
          </w:p>
        </w:tc>
        <w:tc>
          <w:tcPr>
            <w:tcW w:w="1361"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7"/>
            <w:tcW w:w="9015" w:type="dxa"/>
          </w:tcPr>
          <w:p>
            <w:pPr>
              <w:pStyle w:val="0"/>
              <w:jc w:val="center"/>
            </w:pPr>
            <w:r>
              <w:rPr>
                <w:sz w:val="24"/>
              </w:rPr>
              <w:t xml:space="preserve">Оснащение средствами, обеспечивающими технику безопасности</w:t>
            </w:r>
          </w:p>
        </w:tc>
      </w:tr>
      <w:tr>
        <w:tc>
          <w:tcPr>
            <w:tcW w:w="397" w:type="dxa"/>
          </w:tcPr>
          <w:p>
            <w:pPr>
              <w:pStyle w:val="0"/>
              <w:jc w:val="center"/>
            </w:pPr>
            <w:r>
              <w:rPr>
                <w:sz w:val="24"/>
              </w:rPr>
              <w:t xml:space="preserve">1.</w:t>
            </w:r>
          </w:p>
        </w:tc>
        <w:tc>
          <w:tcPr>
            <w:tcW w:w="2154"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361" w:type="dxa"/>
          </w:tcPr>
          <w:p>
            <w:pPr>
              <w:pStyle w:val="0"/>
              <w:jc w:val="center"/>
            </w:pPr>
            <w:r>
              <w:rPr>
                <w:sz w:val="24"/>
              </w:rPr>
              <w:t xml:space="preserve">-</w:t>
            </w:r>
          </w:p>
        </w:tc>
        <w:tc>
          <w:tcPr>
            <w:tcW w:w="1361" w:type="dxa"/>
          </w:tcPr>
          <w:p>
            <w:pPr>
              <w:pStyle w:val="0"/>
              <w:jc w:val="center"/>
            </w:pPr>
            <w:r>
              <w:rPr>
                <w:sz w:val="24"/>
              </w:rPr>
              <w:t xml:space="preserve">-</w:t>
            </w:r>
          </w:p>
        </w:tc>
        <w:tc>
          <w:tcPr>
            <w:tcW w:w="737"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w:t>
      </w:r>
    </w:p>
    <w:bookmarkStart w:id="428" w:name="P428"/>
    <w:bookmarkEnd w:id="428"/>
    <w:p>
      <w:pPr>
        <w:pStyle w:val="0"/>
        <w:spacing w:before="240" w:lineRule="auto"/>
        <w:ind w:firstLine="540"/>
        <w:jc w:val="both"/>
      </w:pPr>
      <w:r>
        <w:rPr>
          <w:sz w:val="24"/>
        </w:rPr>
        <w:t xml:space="preserve">&lt;12&gt; Здесь и далее в соответствующих строках прописывается "Не требуется", если для выполнения задания/заданий вариативной части КИМ не требуется дополнение к перечню оборудования и оснащения, расходных материалов, средств обучения и воспитания, представленному в инвариантной части КИМ.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1701"/>
        <w:gridCol w:w="1871"/>
        <w:gridCol w:w="1134"/>
        <w:gridCol w:w="1531"/>
        <w:gridCol w:w="850"/>
        <w:gridCol w:w="850"/>
        <w:gridCol w:w="737"/>
      </w:tblGrid>
      <w:tr>
        <w:tc>
          <w:tcPr>
            <w:gridSpan w:val="8"/>
            <w:tcW w:w="9071" w:type="dxa"/>
          </w:tcPr>
          <w:p>
            <w:pPr>
              <w:pStyle w:val="0"/>
              <w:jc w:val="center"/>
            </w:pPr>
            <w:r>
              <w:rPr>
                <w:sz w:val="24"/>
              </w:rPr>
              <w:t xml:space="preserve">3. Инфраструктура общего (коллективного) пользования участниками ДЭ</w:t>
            </w:r>
          </w:p>
        </w:tc>
      </w:tr>
      <w:tr>
        <w:tc>
          <w:tcPr>
            <w:tcW w:w="397" w:type="dxa"/>
          </w:tcPr>
          <w:p>
            <w:pPr>
              <w:pStyle w:val="0"/>
              <w:jc w:val="center"/>
            </w:pPr>
            <w:r>
              <w:rPr>
                <w:sz w:val="24"/>
              </w:rPr>
              <w:t xml:space="preserve">N</w:t>
            </w:r>
          </w:p>
        </w:tc>
        <w:tc>
          <w:tcPr>
            <w:tcW w:w="1701" w:type="dxa"/>
          </w:tcPr>
          <w:p>
            <w:pPr>
              <w:pStyle w:val="0"/>
              <w:jc w:val="center"/>
            </w:pPr>
            <w:r>
              <w:rPr>
                <w:sz w:val="24"/>
              </w:rPr>
              <w:t xml:space="preserve">Наименование</w:t>
            </w:r>
          </w:p>
        </w:tc>
        <w:tc>
          <w:tcPr>
            <w:tcW w:w="1871" w:type="dxa"/>
          </w:tcPr>
          <w:p>
            <w:pPr>
              <w:pStyle w:val="0"/>
              <w:jc w:val="center"/>
            </w:pPr>
            <w:r>
              <w:rPr>
                <w:sz w:val="24"/>
              </w:rPr>
              <w:t xml:space="preserve">Минимальные (рамочные) технические характеристики</w:t>
            </w:r>
          </w:p>
        </w:tc>
        <w:tc>
          <w:tcPr>
            <w:tcW w:w="1134" w:type="dxa"/>
          </w:tcPr>
          <w:p>
            <w:pPr>
              <w:pStyle w:val="0"/>
              <w:jc w:val="center"/>
            </w:pPr>
            <w:hyperlink w:history="0" r:id="rId29"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с изм. и доп., вступ. в силу с 01.10.2026) {КонсультантПлюс}">
              <w:r>
                <w:rPr>
                  <w:sz w:val="24"/>
                  <w:color w:val="0000ff"/>
                </w:rPr>
                <w:t xml:space="preserve">ОКПД-2</w:t>
              </w:r>
            </w:hyperlink>
          </w:p>
        </w:tc>
        <w:tc>
          <w:tcPr>
            <w:tcW w:w="1531" w:type="dxa"/>
          </w:tcPr>
          <w:p>
            <w:pPr>
              <w:pStyle w:val="0"/>
              <w:jc w:val="center"/>
            </w:pPr>
            <w:r>
              <w:rPr>
                <w:sz w:val="24"/>
              </w:rPr>
              <w:t xml:space="preserve">Расчет кол-ва</w:t>
            </w:r>
          </w:p>
          <w:p>
            <w:pPr>
              <w:pStyle w:val="0"/>
              <w:jc w:val="center"/>
            </w:pPr>
            <w:r>
              <w:rPr>
                <w:sz w:val="24"/>
              </w:rPr>
              <w:t xml:space="preserve">(На кол-во участников/На кол-во раб. мест/На всю площадку)</w:t>
            </w:r>
          </w:p>
        </w:tc>
        <w:tc>
          <w:tcPr>
            <w:tcW w:w="850" w:type="dxa"/>
          </w:tcPr>
          <w:p>
            <w:pPr>
              <w:pStyle w:val="0"/>
              <w:jc w:val="center"/>
            </w:pPr>
            <w:r>
              <w:rPr>
                <w:sz w:val="24"/>
              </w:rPr>
              <w:t xml:space="preserve">Количество мест/участников</w:t>
            </w:r>
          </w:p>
        </w:tc>
        <w:tc>
          <w:tcPr>
            <w:tcW w:w="850" w:type="dxa"/>
          </w:tcPr>
          <w:p>
            <w:pPr>
              <w:pStyle w:val="0"/>
              <w:jc w:val="center"/>
            </w:pPr>
            <w:r>
              <w:rPr>
                <w:sz w:val="24"/>
              </w:rPr>
              <w:t xml:space="preserve">Количество для проведения ГИА ДЭ ПУ</w:t>
            </w:r>
          </w:p>
        </w:tc>
        <w:tc>
          <w:tcPr>
            <w:tcW w:w="737" w:type="dxa"/>
          </w:tcPr>
          <w:p>
            <w:pPr>
              <w:pStyle w:val="0"/>
              <w:jc w:val="center"/>
            </w:pPr>
            <w:r>
              <w:rPr>
                <w:sz w:val="24"/>
              </w:rPr>
              <w:t xml:space="preserve">Единица измерения</w:t>
            </w:r>
          </w:p>
        </w:tc>
      </w:tr>
      <w:tr>
        <w:tc>
          <w:tcPr>
            <w:gridSpan w:val="8"/>
            <w:tcW w:w="9071" w:type="dxa"/>
          </w:tcPr>
          <w:p>
            <w:pPr>
              <w:pStyle w:val="0"/>
              <w:jc w:val="center"/>
            </w:pPr>
            <w:r>
              <w:rPr>
                <w:sz w:val="24"/>
              </w:rPr>
              <w:t xml:space="preserve">Перечень оборудования</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Перечень инструментов</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Перечень расходных материалов</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Оснащение средствами, обеспечивающими технику безопасности</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4. Инфраструктура рабочего места администратора центра проведения экзамена</w:t>
            </w:r>
          </w:p>
        </w:tc>
      </w:tr>
      <w:tr>
        <w:tc>
          <w:tcPr>
            <w:tcW w:w="397" w:type="dxa"/>
          </w:tcPr>
          <w:p>
            <w:pPr>
              <w:pStyle w:val="0"/>
              <w:jc w:val="center"/>
            </w:pPr>
            <w:r>
              <w:rPr>
                <w:sz w:val="24"/>
              </w:rPr>
              <w:t xml:space="preserve">N</w:t>
            </w:r>
          </w:p>
        </w:tc>
        <w:tc>
          <w:tcPr>
            <w:tcW w:w="1701" w:type="dxa"/>
          </w:tcPr>
          <w:p>
            <w:pPr>
              <w:pStyle w:val="0"/>
              <w:jc w:val="center"/>
            </w:pPr>
            <w:r>
              <w:rPr>
                <w:sz w:val="24"/>
              </w:rPr>
              <w:t xml:space="preserve">Наименование</w:t>
            </w:r>
          </w:p>
        </w:tc>
        <w:tc>
          <w:tcPr>
            <w:gridSpan w:val="2"/>
            <w:tcW w:w="3005" w:type="dxa"/>
          </w:tcPr>
          <w:p>
            <w:pPr>
              <w:pStyle w:val="0"/>
              <w:jc w:val="center"/>
            </w:pPr>
            <w:r>
              <w:rPr>
                <w:sz w:val="24"/>
              </w:rPr>
              <w:t xml:space="preserve">Минимальные (рамочные) технические характеристики</w:t>
            </w:r>
          </w:p>
        </w:tc>
        <w:tc>
          <w:tcPr>
            <w:gridSpan w:val="2"/>
            <w:tcW w:w="2381" w:type="dxa"/>
          </w:tcPr>
          <w:p>
            <w:pPr>
              <w:pStyle w:val="0"/>
              <w:jc w:val="center"/>
            </w:pPr>
            <w:hyperlink w:history="0" r:id="rId30"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с изм. и доп., вступ. в силу с 01.10.2026) {КонсультантПлюс}">
              <w:r>
                <w:rPr>
                  <w:sz w:val="24"/>
                  <w:color w:val="0000ff"/>
                </w:rPr>
                <w:t xml:space="preserve">ОКПД-2</w:t>
              </w:r>
            </w:hyperlink>
          </w:p>
        </w:tc>
        <w:tc>
          <w:tcPr>
            <w:tcW w:w="850" w:type="dxa"/>
          </w:tcPr>
          <w:p>
            <w:pPr>
              <w:pStyle w:val="0"/>
              <w:jc w:val="center"/>
            </w:pPr>
            <w:r>
              <w:rPr>
                <w:sz w:val="24"/>
              </w:rPr>
              <w:t xml:space="preserve">Количество для проведения ГИА ДЭ ПУ</w:t>
            </w:r>
          </w:p>
        </w:tc>
        <w:tc>
          <w:tcPr>
            <w:tcW w:w="737" w:type="dxa"/>
          </w:tcPr>
          <w:p>
            <w:pPr>
              <w:pStyle w:val="0"/>
              <w:jc w:val="center"/>
            </w:pPr>
            <w:r>
              <w:rPr>
                <w:sz w:val="24"/>
              </w:rPr>
              <w:t xml:space="preserve">Единица измерения</w:t>
            </w:r>
          </w:p>
        </w:tc>
      </w:tr>
      <w:tr>
        <w:tc>
          <w:tcPr>
            <w:gridSpan w:val="8"/>
            <w:tcW w:w="9071" w:type="dxa"/>
          </w:tcPr>
          <w:p>
            <w:pPr>
              <w:pStyle w:val="0"/>
              <w:jc w:val="center"/>
            </w:pPr>
            <w:r>
              <w:rPr>
                <w:sz w:val="24"/>
              </w:rPr>
              <w:t xml:space="preserve">Перечень оборудования</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gridSpan w:val="2"/>
            <w:tcW w:w="3005" w:type="dxa"/>
          </w:tcPr>
          <w:p>
            <w:pPr>
              <w:pStyle w:val="0"/>
              <w:jc w:val="center"/>
            </w:pPr>
            <w:r>
              <w:rPr>
                <w:sz w:val="24"/>
              </w:rPr>
              <w:t xml:space="preserve">-</w:t>
            </w:r>
          </w:p>
        </w:tc>
        <w:tc>
          <w:tcPr>
            <w:gridSpan w:val="2"/>
            <w:tcW w:w="2381"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Перечень инструментов</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gridSpan w:val="2"/>
            <w:tcW w:w="3005" w:type="dxa"/>
          </w:tcPr>
          <w:p>
            <w:pPr>
              <w:pStyle w:val="0"/>
              <w:jc w:val="center"/>
            </w:pPr>
            <w:r>
              <w:rPr>
                <w:sz w:val="24"/>
              </w:rPr>
              <w:t xml:space="preserve">-</w:t>
            </w:r>
          </w:p>
        </w:tc>
        <w:tc>
          <w:tcPr>
            <w:gridSpan w:val="2"/>
            <w:tcW w:w="2381"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Перечень расходных материалов</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gridSpan w:val="2"/>
            <w:tcW w:w="3005" w:type="dxa"/>
          </w:tcPr>
          <w:p>
            <w:pPr>
              <w:pStyle w:val="0"/>
              <w:jc w:val="center"/>
            </w:pPr>
            <w:r>
              <w:rPr>
                <w:sz w:val="24"/>
              </w:rPr>
              <w:t xml:space="preserve">-</w:t>
            </w:r>
          </w:p>
        </w:tc>
        <w:tc>
          <w:tcPr>
            <w:gridSpan w:val="2"/>
            <w:tcW w:w="2381"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Оснащение средствами, обеспечивающими технику безопасности</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gridSpan w:val="2"/>
            <w:tcW w:w="3005" w:type="dxa"/>
          </w:tcPr>
          <w:p>
            <w:pPr>
              <w:pStyle w:val="0"/>
              <w:jc w:val="center"/>
            </w:pPr>
            <w:r>
              <w:rPr>
                <w:sz w:val="24"/>
              </w:rPr>
              <w:t xml:space="preserve">-</w:t>
            </w:r>
          </w:p>
        </w:tc>
        <w:tc>
          <w:tcPr>
            <w:gridSpan w:val="2"/>
            <w:tcW w:w="2381"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5. Инфраструктура рабочего места экспертной группы</w:t>
            </w:r>
          </w:p>
        </w:tc>
      </w:tr>
      <w:tr>
        <w:tc>
          <w:tcPr>
            <w:tcW w:w="397" w:type="dxa"/>
          </w:tcPr>
          <w:p>
            <w:pPr>
              <w:pStyle w:val="0"/>
              <w:jc w:val="center"/>
            </w:pPr>
            <w:r>
              <w:rPr>
                <w:sz w:val="24"/>
              </w:rPr>
              <w:t xml:space="preserve">N</w:t>
            </w:r>
          </w:p>
        </w:tc>
        <w:tc>
          <w:tcPr>
            <w:tcW w:w="1701" w:type="dxa"/>
          </w:tcPr>
          <w:p>
            <w:pPr>
              <w:pStyle w:val="0"/>
              <w:jc w:val="center"/>
            </w:pPr>
            <w:r>
              <w:rPr>
                <w:sz w:val="24"/>
              </w:rPr>
              <w:t xml:space="preserve">Наименование</w:t>
            </w:r>
          </w:p>
        </w:tc>
        <w:tc>
          <w:tcPr>
            <w:tcW w:w="1871" w:type="dxa"/>
          </w:tcPr>
          <w:p>
            <w:pPr>
              <w:pStyle w:val="0"/>
              <w:jc w:val="center"/>
            </w:pPr>
            <w:r>
              <w:rPr>
                <w:sz w:val="24"/>
              </w:rPr>
              <w:t xml:space="preserve">Минимальные (рамочные) технические характеристики</w:t>
            </w:r>
          </w:p>
        </w:tc>
        <w:tc>
          <w:tcPr>
            <w:tcW w:w="1134" w:type="dxa"/>
          </w:tcPr>
          <w:p>
            <w:pPr>
              <w:pStyle w:val="0"/>
              <w:jc w:val="center"/>
            </w:pPr>
            <w:hyperlink w:history="0" r:id="rId31"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с изм. и доп., вступ. в силу с 01.10.2026) {КонсультантПлюс}">
              <w:r>
                <w:rPr>
                  <w:sz w:val="24"/>
                  <w:color w:val="0000ff"/>
                </w:rPr>
                <w:t xml:space="preserve">ОКПД-2</w:t>
              </w:r>
            </w:hyperlink>
          </w:p>
        </w:tc>
        <w:tc>
          <w:tcPr>
            <w:tcW w:w="1531" w:type="dxa"/>
          </w:tcPr>
          <w:p>
            <w:pPr>
              <w:pStyle w:val="0"/>
              <w:jc w:val="center"/>
            </w:pPr>
            <w:r>
              <w:rPr>
                <w:sz w:val="24"/>
              </w:rPr>
              <w:t xml:space="preserve">Расчет кол-ва</w:t>
            </w:r>
          </w:p>
          <w:p>
            <w:pPr>
              <w:pStyle w:val="0"/>
              <w:jc w:val="center"/>
            </w:pPr>
            <w:r>
              <w:rPr>
                <w:sz w:val="24"/>
              </w:rPr>
              <w:t xml:space="preserve">(На 1 эксперта/На кол-во экспертов/На всех экспертов)</w:t>
            </w:r>
          </w:p>
        </w:tc>
        <w:tc>
          <w:tcPr>
            <w:tcW w:w="850" w:type="dxa"/>
          </w:tcPr>
          <w:p>
            <w:pPr>
              <w:pStyle w:val="0"/>
              <w:jc w:val="center"/>
            </w:pPr>
            <w:r>
              <w:rPr>
                <w:sz w:val="24"/>
              </w:rPr>
              <w:t xml:space="preserve">Количество экспертов</w:t>
            </w:r>
          </w:p>
        </w:tc>
        <w:tc>
          <w:tcPr>
            <w:tcW w:w="850" w:type="dxa"/>
          </w:tcPr>
          <w:p>
            <w:pPr>
              <w:pStyle w:val="0"/>
              <w:jc w:val="center"/>
            </w:pPr>
            <w:r>
              <w:rPr>
                <w:sz w:val="24"/>
              </w:rPr>
              <w:t xml:space="preserve">Количество для проведения ГИА ДЭ ПУ</w:t>
            </w:r>
          </w:p>
        </w:tc>
        <w:tc>
          <w:tcPr>
            <w:tcW w:w="737" w:type="dxa"/>
          </w:tcPr>
          <w:p>
            <w:pPr>
              <w:pStyle w:val="0"/>
              <w:jc w:val="center"/>
            </w:pPr>
            <w:r>
              <w:rPr>
                <w:sz w:val="24"/>
              </w:rPr>
              <w:t xml:space="preserve">Единица измерения</w:t>
            </w:r>
          </w:p>
        </w:tc>
      </w:tr>
      <w:tr>
        <w:tc>
          <w:tcPr>
            <w:gridSpan w:val="8"/>
            <w:tcW w:w="9071" w:type="dxa"/>
          </w:tcPr>
          <w:p>
            <w:pPr>
              <w:pStyle w:val="0"/>
              <w:jc w:val="center"/>
            </w:pPr>
            <w:r>
              <w:rPr>
                <w:sz w:val="24"/>
              </w:rPr>
              <w:t xml:space="preserve">Перечень оборудования</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Перечень инструментов</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Перечень расходных материалов</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Оснащение средствами, обеспечивающими технику безопасности</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6. Дополнительные технические характеристики и описания площадки</w:t>
            </w:r>
          </w:p>
        </w:tc>
      </w:tr>
      <w:tr>
        <w:tc>
          <w:tcPr>
            <w:gridSpan w:val="8"/>
            <w:tcW w:w="9071" w:type="dxa"/>
          </w:tcPr>
          <w:p>
            <w:pPr>
              <w:pStyle w:val="0"/>
              <w:jc w:val="center"/>
            </w:pPr>
            <w:r>
              <w:rPr>
                <w:sz w:val="24"/>
              </w:rPr>
              <w:t xml:space="preserve">6.1 Дополнительная инфраструктура для подготовки рабочего места участника</w:t>
            </w:r>
          </w:p>
        </w:tc>
      </w:tr>
      <w:tr>
        <w:tc>
          <w:tcPr>
            <w:tcW w:w="397" w:type="dxa"/>
          </w:tcPr>
          <w:p>
            <w:pPr>
              <w:pStyle w:val="0"/>
              <w:jc w:val="center"/>
            </w:pPr>
            <w:r>
              <w:rPr>
                <w:sz w:val="24"/>
              </w:rPr>
              <w:t xml:space="preserve">N</w:t>
            </w:r>
          </w:p>
        </w:tc>
        <w:tc>
          <w:tcPr>
            <w:tcW w:w="1701" w:type="dxa"/>
          </w:tcPr>
          <w:p>
            <w:pPr>
              <w:pStyle w:val="0"/>
              <w:jc w:val="center"/>
            </w:pPr>
            <w:r>
              <w:rPr>
                <w:sz w:val="24"/>
              </w:rPr>
              <w:t xml:space="preserve">Наименование</w:t>
            </w:r>
          </w:p>
        </w:tc>
        <w:tc>
          <w:tcPr>
            <w:tcW w:w="1871" w:type="dxa"/>
          </w:tcPr>
          <w:p>
            <w:pPr>
              <w:pStyle w:val="0"/>
              <w:jc w:val="center"/>
            </w:pPr>
            <w:r>
              <w:rPr>
                <w:sz w:val="24"/>
              </w:rPr>
              <w:t xml:space="preserve">Минимальные (рамочные) технические характеристики</w:t>
            </w:r>
          </w:p>
        </w:tc>
        <w:tc>
          <w:tcPr>
            <w:tcW w:w="1134" w:type="dxa"/>
          </w:tcPr>
          <w:p>
            <w:pPr>
              <w:pStyle w:val="0"/>
              <w:jc w:val="center"/>
            </w:pPr>
            <w:hyperlink w:history="0" r:id="rId32"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с изм. и доп., вступ. в силу с 01.10.2026) {КонсультантПлюс}">
              <w:r>
                <w:rPr>
                  <w:sz w:val="24"/>
                  <w:color w:val="0000ff"/>
                </w:rPr>
                <w:t xml:space="preserve">ОКПД-2</w:t>
              </w:r>
            </w:hyperlink>
          </w:p>
        </w:tc>
        <w:tc>
          <w:tcPr>
            <w:tcW w:w="1531" w:type="dxa"/>
          </w:tcPr>
          <w:p>
            <w:pPr>
              <w:pStyle w:val="0"/>
              <w:jc w:val="center"/>
            </w:pPr>
            <w:r>
              <w:rPr>
                <w:sz w:val="24"/>
              </w:rPr>
              <w:t xml:space="preserve">Расчет кол-ва</w:t>
            </w:r>
          </w:p>
          <w:p>
            <w:pPr>
              <w:pStyle w:val="0"/>
              <w:jc w:val="center"/>
            </w:pPr>
            <w:r>
              <w:rPr>
                <w:sz w:val="24"/>
              </w:rPr>
              <w:t xml:space="preserve">(На 1 раб. место/На 1 участника)</w:t>
            </w:r>
          </w:p>
        </w:tc>
        <w:tc>
          <w:tcPr>
            <w:tcW w:w="850" w:type="dxa"/>
          </w:tcPr>
          <w:p>
            <w:pPr>
              <w:pStyle w:val="0"/>
              <w:jc w:val="center"/>
            </w:pPr>
            <w:r>
              <w:rPr>
                <w:sz w:val="24"/>
              </w:rPr>
              <w:t xml:space="preserve">Количество</w:t>
            </w:r>
          </w:p>
        </w:tc>
        <w:tc>
          <w:tcPr>
            <w:tcW w:w="850" w:type="dxa"/>
          </w:tcPr>
          <w:p>
            <w:pPr>
              <w:pStyle w:val="0"/>
              <w:jc w:val="center"/>
            </w:pPr>
            <w:r>
              <w:rPr>
                <w:sz w:val="24"/>
              </w:rPr>
              <w:t xml:space="preserve">Количество для проведения ГИА ДЭ ПУ</w:t>
            </w:r>
          </w:p>
        </w:tc>
        <w:tc>
          <w:tcPr>
            <w:tcW w:w="737" w:type="dxa"/>
          </w:tcPr>
          <w:p>
            <w:pPr>
              <w:pStyle w:val="0"/>
              <w:jc w:val="center"/>
            </w:pPr>
            <w:r>
              <w:rPr>
                <w:sz w:val="24"/>
              </w:rPr>
              <w:t xml:space="preserve">Единица измерения</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tcW w:w="1871" w:type="dxa"/>
          </w:tcPr>
          <w:p>
            <w:pPr>
              <w:pStyle w:val="0"/>
              <w:jc w:val="center"/>
            </w:pPr>
            <w:r>
              <w:rPr>
                <w:sz w:val="24"/>
              </w:rPr>
              <w:t xml:space="preserve">-</w:t>
            </w:r>
          </w:p>
        </w:tc>
        <w:tc>
          <w:tcPr>
            <w:tcW w:w="1134" w:type="dxa"/>
          </w:tcPr>
          <w:p>
            <w:pPr>
              <w:pStyle w:val="0"/>
              <w:jc w:val="center"/>
            </w:pPr>
            <w:r>
              <w:rPr>
                <w:sz w:val="24"/>
              </w:rPr>
              <w:t xml:space="preserve">-</w:t>
            </w:r>
          </w:p>
        </w:tc>
        <w:tc>
          <w:tcPr>
            <w:tcW w:w="1531"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737" w:type="dxa"/>
          </w:tcPr>
          <w:p>
            <w:pPr>
              <w:pStyle w:val="0"/>
              <w:jc w:val="center"/>
            </w:pPr>
            <w:r>
              <w:rPr>
                <w:sz w:val="24"/>
              </w:rPr>
              <w:t xml:space="preserve">-</w:t>
            </w:r>
          </w:p>
        </w:tc>
      </w:tr>
      <w:tr>
        <w:tc>
          <w:tcPr>
            <w:gridSpan w:val="8"/>
            <w:tcW w:w="9071" w:type="dxa"/>
          </w:tcPr>
          <w:p>
            <w:pPr>
              <w:pStyle w:val="0"/>
              <w:jc w:val="center"/>
            </w:pPr>
            <w:r>
              <w:rPr>
                <w:sz w:val="24"/>
              </w:rPr>
              <w:t xml:space="preserve">6.2 Дополнительные технические требования к площадке</w:t>
            </w:r>
          </w:p>
        </w:tc>
      </w:tr>
      <w:tr>
        <w:tc>
          <w:tcPr>
            <w:tcW w:w="397" w:type="dxa"/>
          </w:tcPr>
          <w:p>
            <w:pPr>
              <w:pStyle w:val="0"/>
              <w:jc w:val="center"/>
            </w:pPr>
            <w:r>
              <w:rPr>
                <w:sz w:val="24"/>
              </w:rPr>
              <w:t xml:space="preserve">N</w:t>
            </w:r>
          </w:p>
        </w:tc>
        <w:tc>
          <w:tcPr>
            <w:tcW w:w="1701" w:type="dxa"/>
          </w:tcPr>
          <w:p>
            <w:pPr>
              <w:pStyle w:val="0"/>
              <w:jc w:val="center"/>
            </w:pPr>
            <w:r>
              <w:rPr>
                <w:sz w:val="24"/>
              </w:rPr>
              <w:t xml:space="preserve">Наименование</w:t>
            </w:r>
          </w:p>
        </w:tc>
        <w:tc>
          <w:tcPr>
            <w:gridSpan w:val="6"/>
            <w:tcW w:w="6973" w:type="dxa"/>
          </w:tcPr>
          <w:p>
            <w:pPr>
              <w:pStyle w:val="0"/>
              <w:jc w:val="center"/>
            </w:pPr>
            <w:r>
              <w:rPr>
                <w:sz w:val="24"/>
              </w:rPr>
              <w:t xml:space="preserve">Минимальные (рамочные) технические характеристики</w:t>
            </w:r>
          </w:p>
        </w:tc>
      </w:tr>
      <w:tr>
        <w:tc>
          <w:tcPr>
            <w:tcW w:w="397" w:type="dxa"/>
          </w:tcPr>
          <w:p>
            <w:pPr>
              <w:pStyle w:val="0"/>
              <w:jc w:val="center"/>
            </w:pPr>
            <w:r>
              <w:rPr>
                <w:sz w:val="24"/>
              </w:rPr>
              <w:t xml:space="preserve">1.</w:t>
            </w:r>
          </w:p>
        </w:tc>
        <w:tc>
          <w:tcPr>
            <w:tcW w:w="1701" w:type="dxa"/>
          </w:tcPr>
          <w:p>
            <w:pPr>
              <w:pStyle w:val="0"/>
            </w:pPr>
            <w:r>
              <w:rPr>
                <w:sz w:val="24"/>
              </w:rPr>
              <w:t xml:space="preserve">Не требуется</w:t>
            </w:r>
          </w:p>
        </w:tc>
        <w:tc>
          <w:tcPr>
            <w:gridSpan w:val="6"/>
            <w:tcW w:w="6973" w:type="dxa"/>
          </w:tcPr>
          <w:p>
            <w:pPr>
              <w:pStyle w:val="0"/>
            </w:pPr>
            <w:r>
              <w:rPr>
                <w:sz w:val="24"/>
              </w:rPr>
              <w:t xml:space="preserve">-</w:t>
            </w:r>
          </w:p>
        </w:tc>
      </w:tr>
    </w:tbl>
    <w:p>
      <w:pPr>
        <w:pStyle w:val="0"/>
        <w:jc w:val="both"/>
      </w:pPr>
      <w:r>
        <w:rPr>
          <w:sz w:val="24"/>
        </w:rPr>
      </w:r>
    </w:p>
    <w:p>
      <w:pPr>
        <w:pStyle w:val="0"/>
        <w:outlineLvl w:val="3"/>
        <w:jc w:val="center"/>
      </w:pPr>
      <w:r>
        <w:rPr>
          <w:sz w:val="24"/>
        </w:rPr>
        <w:t xml:space="preserve">2.3 Инструкция по технике безопасности</w:t>
      </w:r>
    </w:p>
    <w:p>
      <w:pPr>
        <w:pStyle w:val="0"/>
        <w:jc w:val="both"/>
      </w:pPr>
      <w:r>
        <w:rPr>
          <w:sz w:val="24"/>
        </w:rPr>
      </w:r>
    </w:p>
    <w:p>
      <w:pPr>
        <w:pStyle w:val="0"/>
        <w:ind w:firstLine="540"/>
        <w:jc w:val="both"/>
      </w:pPr>
      <w:r>
        <w:rPr>
          <w:sz w:val="24"/>
        </w:rPr>
        <w:t xml:space="preserve">1. Общие требования по технике безопасности. &lt;13&gt;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Если не требуется, то пишется "Не требуется отдельной инструкции по технике безопасности для проведения ДЭ ПУ ВЧ, отличной от представленной в инвариантной части КИМ".</w:t>
      </w:r>
    </w:p>
    <w:p>
      <w:pPr>
        <w:pStyle w:val="0"/>
        <w:jc w:val="both"/>
      </w:pPr>
      <w:r>
        <w:rPr>
          <w:sz w:val="24"/>
        </w:rPr>
      </w:r>
    </w:p>
    <w:p>
      <w:pPr>
        <w:pStyle w:val="0"/>
        <w:ind w:firstLine="540"/>
        <w:jc w:val="both"/>
      </w:pPr>
      <w:r>
        <w:rPr>
          <w:sz w:val="24"/>
        </w:rPr>
        <w:t xml:space="preserve">2. Требования по технике безопасности перед началом работы.</w:t>
      </w:r>
    </w:p>
    <w:p>
      <w:pPr>
        <w:pStyle w:val="0"/>
        <w:spacing w:before="240" w:lineRule="auto"/>
        <w:ind w:firstLine="540"/>
        <w:jc w:val="both"/>
      </w:pPr>
      <w:r>
        <w:rPr>
          <w:sz w:val="24"/>
        </w:rPr>
        <w:t xml:space="preserve">3. Требования по технике безопасности во время работы.</w:t>
      </w:r>
    </w:p>
    <w:p>
      <w:pPr>
        <w:pStyle w:val="0"/>
        <w:spacing w:before="240" w:lineRule="auto"/>
        <w:ind w:firstLine="540"/>
        <w:jc w:val="both"/>
      </w:pPr>
      <w:r>
        <w:rPr>
          <w:sz w:val="24"/>
        </w:rPr>
        <w:t xml:space="preserve">4. Требования по технике безопасности в аварийных ситуациях.</w:t>
      </w:r>
    </w:p>
    <w:p>
      <w:pPr>
        <w:pStyle w:val="0"/>
        <w:spacing w:before="240" w:lineRule="auto"/>
        <w:ind w:firstLine="540"/>
        <w:jc w:val="both"/>
      </w:pPr>
      <w:r>
        <w:rPr>
          <w:sz w:val="24"/>
        </w:rPr>
        <w:t xml:space="preserve">5. Требования по технике безопасности по окончании работы.</w:t>
      </w:r>
    </w:p>
    <w:p>
      <w:pPr>
        <w:pStyle w:val="0"/>
        <w:jc w:val="both"/>
      </w:pPr>
      <w:r>
        <w:rPr>
          <w:sz w:val="24"/>
        </w:rPr>
      </w:r>
    </w:p>
    <w:p>
      <w:pPr>
        <w:pStyle w:val="0"/>
        <w:outlineLvl w:val="3"/>
        <w:jc w:val="center"/>
      </w:pPr>
      <w:r>
        <w:rPr>
          <w:sz w:val="24"/>
        </w:rPr>
        <w:t xml:space="preserve">2.4 Условия привлечения экспертов</w:t>
      </w:r>
    </w:p>
    <w:p>
      <w:pPr>
        <w:pStyle w:val="0"/>
        <w:jc w:val="both"/>
      </w:pPr>
      <w:r>
        <w:rPr>
          <w:sz w:val="24"/>
        </w:rPr>
      </w:r>
    </w:p>
    <w:p>
      <w:pPr>
        <w:pStyle w:val="0"/>
        <w:ind w:firstLine="540"/>
        <w:jc w:val="both"/>
      </w:pPr>
      <w:r>
        <w:rPr>
          <w:sz w:val="24"/>
        </w:rPr>
        <w:t xml:space="preserve">Количество экспертов для проведения ГИА в форме ДЭ ПУ ВЧ, представлено в таблице N 6.</w:t>
      </w:r>
    </w:p>
    <w:p>
      <w:pPr>
        <w:pStyle w:val="0"/>
        <w:jc w:val="both"/>
      </w:pPr>
      <w:r>
        <w:rPr>
          <w:sz w:val="24"/>
        </w:rPr>
      </w:r>
    </w:p>
    <w:p>
      <w:pPr>
        <w:pStyle w:val="0"/>
        <w:jc w:val="right"/>
      </w:pPr>
      <w:r>
        <w:rPr>
          <w:sz w:val="24"/>
        </w:rPr>
        <w:t xml:space="preserve">Таблица N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81"/>
        <w:gridCol w:w="3175"/>
        <w:gridCol w:w="3515"/>
      </w:tblGrid>
      <w:tr>
        <w:tc>
          <w:tcPr>
            <w:tcW w:w="2381" w:type="dxa"/>
          </w:tcPr>
          <w:p>
            <w:pPr>
              <w:pStyle w:val="0"/>
              <w:jc w:val="center"/>
            </w:pPr>
            <w:r>
              <w:rPr>
                <w:sz w:val="24"/>
              </w:rPr>
              <w:t xml:space="preserve">Кол-во рабочих мест в ЦПДЭ</w:t>
            </w:r>
          </w:p>
        </w:tc>
        <w:tc>
          <w:tcPr>
            <w:tcW w:w="3175" w:type="dxa"/>
          </w:tcPr>
          <w:p>
            <w:pPr>
              <w:pStyle w:val="0"/>
              <w:jc w:val="center"/>
            </w:pPr>
            <w:r>
              <w:rPr>
                <w:sz w:val="24"/>
              </w:rPr>
              <w:t xml:space="preserve">Минимальное количество экспертов </w:t>
            </w:r>
            <w:hyperlink w:history="0" w:anchor="P681" w:tooltip="&lt;14&gt; Количество экспертов, без которого невозможно запустить проведение ДЭ.">
              <w:r>
                <w:rPr>
                  <w:sz w:val="24"/>
                  <w:color w:val="0000ff"/>
                </w:rPr>
                <w:t xml:space="preserve">&lt;14&gt;</w:t>
              </w:r>
            </w:hyperlink>
          </w:p>
        </w:tc>
        <w:tc>
          <w:tcPr>
            <w:tcW w:w="3515" w:type="dxa"/>
          </w:tcPr>
          <w:p>
            <w:pPr>
              <w:pStyle w:val="0"/>
              <w:jc w:val="center"/>
            </w:pPr>
            <w:r>
              <w:rPr>
                <w:sz w:val="24"/>
              </w:rPr>
              <w:t xml:space="preserve">Рекомендуемое количество экспертов </w:t>
            </w:r>
            <w:hyperlink w:history="0" w:anchor="P682" w:tooltip="&lt;15&gt; Количество экспертов для комфортной работы в ЦПДЭ, с учетом понимания их задач.">
              <w:r>
                <w:rPr>
                  <w:sz w:val="24"/>
                  <w:color w:val="0000ff"/>
                </w:rPr>
                <w:t xml:space="preserve">&lt;15&gt;</w:t>
              </w:r>
            </w:hyperlink>
          </w:p>
        </w:tc>
      </w:tr>
      <w:tr>
        <w:tc>
          <w:tcPr>
            <w:tcW w:w="2381" w:type="dxa"/>
          </w:tcPr>
          <w:p>
            <w:pPr>
              <w:pStyle w:val="0"/>
              <w:jc w:val="center"/>
            </w:pPr>
            <w:r>
              <w:rPr>
                <w:sz w:val="24"/>
              </w:rPr>
              <w:t xml:space="preserve">1</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2</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3</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4</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5</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6</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7</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8</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9</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10</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11</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12</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13</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14</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15</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16</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17</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18</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19</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20</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21</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22</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23</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24</w:t>
            </w:r>
          </w:p>
        </w:tc>
        <w:tc>
          <w:tcPr>
            <w:tcW w:w="3175" w:type="dxa"/>
          </w:tcPr>
          <w:p>
            <w:pPr>
              <w:pStyle w:val="0"/>
            </w:pPr>
            <w:r>
              <w:rPr>
                <w:sz w:val="24"/>
              </w:rPr>
            </w:r>
          </w:p>
        </w:tc>
        <w:tc>
          <w:tcPr>
            <w:tcW w:w="3515" w:type="dxa"/>
          </w:tcPr>
          <w:p>
            <w:pPr>
              <w:pStyle w:val="0"/>
            </w:pPr>
            <w:r>
              <w:rPr>
                <w:sz w:val="24"/>
              </w:rPr>
            </w:r>
          </w:p>
        </w:tc>
      </w:tr>
      <w:tr>
        <w:tc>
          <w:tcPr>
            <w:tcW w:w="2381" w:type="dxa"/>
          </w:tcPr>
          <w:p>
            <w:pPr>
              <w:pStyle w:val="0"/>
              <w:jc w:val="center"/>
            </w:pPr>
            <w:r>
              <w:rPr>
                <w:sz w:val="24"/>
              </w:rPr>
              <w:t xml:space="preserve">25</w:t>
            </w:r>
          </w:p>
        </w:tc>
        <w:tc>
          <w:tcPr>
            <w:tcW w:w="3175" w:type="dxa"/>
          </w:tcPr>
          <w:p>
            <w:pPr>
              <w:pStyle w:val="0"/>
            </w:pPr>
            <w:r>
              <w:rPr>
                <w:sz w:val="24"/>
              </w:rPr>
            </w:r>
          </w:p>
        </w:tc>
        <w:tc>
          <w:tcPr>
            <w:tcW w:w="3515" w:type="dxa"/>
          </w:tcPr>
          <w:p>
            <w:pPr>
              <w:pStyle w:val="0"/>
            </w:pPr>
            <w:r>
              <w:rPr>
                <w:sz w:val="24"/>
              </w:rPr>
            </w:r>
          </w:p>
        </w:tc>
      </w:tr>
    </w:tbl>
    <w:p>
      <w:pPr>
        <w:pStyle w:val="0"/>
        <w:jc w:val="both"/>
      </w:pPr>
      <w:r>
        <w:rPr>
          <w:sz w:val="24"/>
        </w:rPr>
      </w:r>
    </w:p>
    <w:p>
      <w:pPr>
        <w:pStyle w:val="0"/>
        <w:ind w:firstLine="540"/>
        <w:jc w:val="both"/>
      </w:pPr>
      <w:r>
        <w:rPr>
          <w:sz w:val="24"/>
        </w:rPr>
        <w:t xml:space="preserve">--------------------------------</w:t>
      </w:r>
    </w:p>
    <w:bookmarkStart w:id="681" w:name="P681"/>
    <w:bookmarkEnd w:id="681"/>
    <w:p>
      <w:pPr>
        <w:pStyle w:val="0"/>
        <w:spacing w:before="240" w:lineRule="auto"/>
        <w:ind w:firstLine="540"/>
        <w:jc w:val="both"/>
      </w:pPr>
      <w:r>
        <w:rPr>
          <w:sz w:val="24"/>
        </w:rPr>
        <w:t xml:space="preserve">&lt;14&gt; Количество экспертов, без которого невозможно запустить проведение ДЭ.</w:t>
      </w:r>
    </w:p>
    <w:bookmarkStart w:id="682" w:name="P682"/>
    <w:bookmarkEnd w:id="682"/>
    <w:p>
      <w:pPr>
        <w:pStyle w:val="0"/>
        <w:spacing w:before="240" w:lineRule="auto"/>
        <w:ind w:firstLine="540"/>
        <w:jc w:val="both"/>
      </w:pPr>
      <w:r>
        <w:rPr>
          <w:sz w:val="24"/>
        </w:rPr>
        <w:t xml:space="preserve">&lt;15&gt; Количество экспертов для комфортной работы в ЦПДЭ, с учетом понимания их задач.</w:t>
      </w:r>
    </w:p>
    <w:p>
      <w:pPr>
        <w:pStyle w:val="0"/>
        <w:jc w:val="both"/>
      </w:pPr>
      <w:r>
        <w:rPr>
          <w:sz w:val="24"/>
        </w:rPr>
      </w:r>
    </w:p>
    <w:p>
      <w:pPr>
        <w:pStyle w:val="0"/>
        <w:outlineLvl w:val="3"/>
        <w:jc w:val="center"/>
      </w:pPr>
      <w:r>
        <w:rPr>
          <w:sz w:val="24"/>
        </w:rPr>
        <w:t xml:space="preserve">2.5 Образцы заданий</w:t>
      </w:r>
    </w:p>
    <w:p>
      <w:pPr>
        <w:pStyle w:val="0"/>
        <w:jc w:val="both"/>
      </w:pPr>
      <w:r>
        <w:rPr>
          <w:sz w:val="24"/>
        </w:rPr>
      </w:r>
    </w:p>
    <w:p>
      <w:pPr>
        <w:pStyle w:val="0"/>
        <w:ind w:firstLine="540"/>
        <w:jc w:val="both"/>
      </w:pPr>
      <w:r>
        <w:rPr>
          <w:sz w:val="24"/>
        </w:rPr>
        <w:t xml:space="preserve">Продолжительность выполнения каждого задания представлена в таблице N 7.</w:t>
      </w:r>
    </w:p>
    <w:p>
      <w:pPr>
        <w:pStyle w:val="0"/>
        <w:jc w:val="both"/>
      </w:pPr>
      <w:r>
        <w:rPr>
          <w:sz w:val="24"/>
        </w:rPr>
      </w:r>
    </w:p>
    <w:p>
      <w:pPr>
        <w:pStyle w:val="0"/>
        <w:jc w:val="right"/>
      </w:pPr>
      <w:r>
        <w:rPr>
          <w:sz w:val="24"/>
        </w:rPr>
        <w:t xml:space="preserve">Таблица N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82"/>
        <w:gridCol w:w="3912"/>
        <w:gridCol w:w="3855"/>
      </w:tblGrid>
      <w:tr>
        <w:tc>
          <w:tcPr>
            <w:tcW w:w="1282" w:type="dxa"/>
            <w:vMerge w:val="restart"/>
          </w:tcPr>
          <w:p>
            <w:pPr>
              <w:pStyle w:val="0"/>
              <w:jc w:val="center"/>
            </w:pPr>
            <w:r>
              <w:rPr>
                <w:sz w:val="24"/>
              </w:rPr>
              <w:t xml:space="preserve">Задания</w:t>
            </w:r>
          </w:p>
        </w:tc>
        <w:tc>
          <w:tcPr>
            <w:tcW w:w="3912" w:type="dxa"/>
            <w:vMerge w:val="restart"/>
          </w:tcPr>
          <w:p>
            <w:pPr>
              <w:pStyle w:val="0"/>
              <w:jc w:val="center"/>
            </w:pPr>
            <w:r>
              <w:rPr>
                <w:sz w:val="24"/>
              </w:rPr>
              <w:t xml:space="preserve">Вид деятельности</w:t>
            </w:r>
          </w:p>
        </w:tc>
        <w:tc>
          <w:tcPr>
            <w:tcW w:w="3855" w:type="dxa"/>
          </w:tcPr>
          <w:p>
            <w:pPr>
              <w:pStyle w:val="0"/>
              <w:jc w:val="center"/>
            </w:pPr>
            <w:r>
              <w:rPr>
                <w:sz w:val="24"/>
              </w:rPr>
              <w:t xml:space="preserve">Продолжительность выполнения Задания/Максимальная продолжительность ДЭ ПУ ВЧ</w:t>
            </w:r>
          </w:p>
        </w:tc>
      </w:tr>
      <w:tr>
        <w:tc>
          <w:tcPr>
            <w:vMerge w:val="continue"/>
          </w:tcPr>
          <w:p/>
        </w:tc>
        <w:tc>
          <w:tcPr>
            <w:vMerge w:val="continue"/>
          </w:tcPr>
          <w:p/>
        </w:tc>
        <w:tc>
          <w:tcPr>
            <w:tcW w:w="3855" w:type="dxa"/>
          </w:tcPr>
          <w:p>
            <w:pPr>
              <w:pStyle w:val="0"/>
              <w:jc w:val="center"/>
            </w:pPr>
            <w:r>
              <w:rPr>
                <w:sz w:val="24"/>
              </w:rPr>
              <w:t xml:space="preserve">ГИА ДЭ ПУ</w:t>
            </w:r>
          </w:p>
        </w:tc>
      </w:tr>
      <w:tr>
        <w:tc>
          <w:tcPr>
            <w:tcW w:w="1282" w:type="dxa"/>
          </w:tcPr>
          <w:p>
            <w:pPr>
              <w:pStyle w:val="0"/>
            </w:pPr>
            <w:r>
              <w:rPr>
                <w:sz w:val="24"/>
              </w:rPr>
              <w:t xml:space="preserve">Задание n</w:t>
            </w:r>
          </w:p>
        </w:tc>
        <w:tc>
          <w:tcPr>
            <w:tcW w:w="3912" w:type="dxa"/>
          </w:tcPr>
          <w:p>
            <w:pPr>
              <w:pStyle w:val="0"/>
            </w:pPr>
            <w:r>
              <w:rPr>
                <w:sz w:val="24"/>
              </w:rPr>
              <w:t xml:space="preserve">ВД n</w:t>
            </w:r>
          </w:p>
        </w:tc>
        <w:tc>
          <w:tcPr>
            <w:tcW w:w="3855" w:type="dxa"/>
          </w:tcPr>
          <w:p>
            <w:pPr>
              <w:pStyle w:val="0"/>
              <w:jc w:val="center"/>
            </w:pPr>
            <w:r>
              <w:rPr>
                <w:sz w:val="24"/>
              </w:rPr>
              <w:t xml:space="preserve">0 ч. 00 мин.</w:t>
            </w:r>
          </w:p>
        </w:tc>
      </w:tr>
      <w:tr>
        <w:tc>
          <w:tcPr>
            <w:tcW w:w="1282" w:type="dxa"/>
          </w:tcPr>
          <w:p>
            <w:pPr>
              <w:pStyle w:val="0"/>
            </w:pPr>
            <w:r>
              <w:rPr>
                <w:sz w:val="24"/>
              </w:rPr>
              <w:t xml:space="preserve">Задание n</w:t>
            </w:r>
          </w:p>
        </w:tc>
        <w:tc>
          <w:tcPr>
            <w:tcW w:w="3912" w:type="dxa"/>
          </w:tcPr>
          <w:p>
            <w:pPr>
              <w:pStyle w:val="0"/>
            </w:pPr>
            <w:r>
              <w:rPr>
                <w:sz w:val="24"/>
              </w:rPr>
              <w:t xml:space="preserve">ВД n, ВД n</w:t>
            </w:r>
          </w:p>
        </w:tc>
        <w:tc>
          <w:tcPr>
            <w:tcW w:w="3855" w:type="dxa"/>
          </w:tcPr>
          <w:p>
            <w:pPr>
              <w:pStyle w:val="0"/>
              <w:jc w:val="center"/>
            </w:pPr>
            <w:r>
              <w:rPr>
                <w:sz w:val="24"/>
              </w:rPr>
              <w:t xml:space="preserve">0 ч. 00 мин.</w:t>
            </w:r>
          </w:p>
        </w:tc>
      </w:tr>
      <w:tr>
        <w:tc>
          <w:tcPr>
            <w:tcW w:w="1282" w:type="dxa"/>
          </w:tcPr>
          <w:p>
            <w:pPr>
              <w:pStyle w:val="0"/>
            </w:pPr>
            <w:r>
              <w:rPr>
                <w:sz w:val="24"/>
              </w:rPr>
              <w:t xml:space="preserve">Задание n</w:t>
            </w:r>
          </w:p>
        </w:tc>
        <w:tc>
          <w:tcPr>
            <w:tcW w:w="3912" w:type="dxa"/>
          </w:tcPr>
          <w:p>
            <w:pPr>
              <w:pStyle w:val="0"/>
            </w:pPr>
            <w:r>
              <w:rPr>
                <w:sz w:val="24"/>
              </w:rPr>
              <w:t xml:space="preserve">ВД n, ВД n</w:t>
            </w:r>
          </w:p>
        </w:tc>
        <w:tc>
          <w:tcPr>
            <w:tcW w:w="3855" w:type="dxa"/>
          </w:tcPr>
          <w:p>
            <w:pPr>
              <w:pStyle w:val="0"/>
              <w:jc w:val="center"/>
            </w:pPr>
            <w:r>
              <w:rPr>
                <w:sz w:val="24"/>
              </w:rPr>
              <w:t xml:space="preserve">0 ч. 00 мин.</w:t>
            </w:r>
          </w:p>
        </w:tc>
      </w:tr>
      <w:tr>
        <w:tc>
          <w:tcPr>
            <w:tcW w:w="1282" w:type="dxa"/>
          </w:tcPr>
          <w:p>
            <w:pPr>
              <w:pStyle w:val="0"/>
            </w:pPr>
            <w:r>
              <w:rPr>
                <w:sz w:val="24"/>
              </w:rPr>
              <w:t xml:space="preserve">Задание n</w:t>
            </w:r>
          </w:p>
        </w:tc>
        <w:tc>
          <w:tcPr>
            <w:tcW w:w="3912" w:type="dxa"/>
          </w:tcPr>
          <w:p>
            <w:pPr>
              <w:pStyle w:val="0"/>
            </w:pPr>
            <w:r>
              <w:rPr>
                <w:sz w:val="24"/>
              </w:rPr>
              <w:t xml:space="preserve">ВД n</w:t>
            </w:r>
          </w:p>
        </w:tc>
        <w:tc>
          <w:tcPr>
            <w:tcW w:w="3855" w:type="dxa"/>
          </w:tcPr>
          <w:p>
            <w:pPr>
              <w:pStyle w:val="0"/>
              <w:jc w:val="center"/>
            </w:pPr>
            <w:r>
              <w:rPr>
                <w:sz w:val="24"/>
              </w:rPr>
              <w:t xml:space="preserve">0 ч. 00 мин.</w:t>
            </w:r>
          </w:p>
        </w:tc>
      </w:tr>
      <w:tr>
        <w:tc>
          <w:tcPr>
            <w:tcW w:w="1282" w:type="dxa"/>
          </w:tcPr>
          <w:p>
            <w:pPr>
              <w:pStyle w:val="0"/>
            </w:pPr>
            <w:r>
              <w:rPr>
                <w:sz w:val="24"/>
              </w:rPr>
              <w:t xml:space="preserve">Задание n</w:t>
            </w:r>
          </w:p>
        </w:tc>
        <w:tc>
          <w:tcPr>
            <w:tcW w:w="3912" w:type="dxa"/>
          </w:tcPr>
          <w:p>
            <w:pPr>
              <w:pStyle w:val="0"/>
            </w:pPr>
            <w:r>
              <w:rPr>
                <w:sz w:val="24"/>
              </w:rPr>
              <w:t xml:space="preserve">ВД n</w:t>
            </w:r>
          </w:p>
        </w:tc>
        <w:tc>
          <w:tcPr>
            <w:tcW w:w="3855" w:type="dxa"/>
          </w:tcPr>
          <w:p>
            <w:pPr>
              <w:pStyle w:val="0"/>
              <w:jc w:val="center"/>
            </w:pPr>
            <w:r>
              <w:rPr>
                <w:sz w:val="24"/>
              </w:rPr>
              <w:t xml:space="preserve">0 ч. 00 мин.</w:t>
            </w:r>
          </w:p>
        </w:tc>
      </w:tr>
      <w:tr>
        <w:tc>
          <w:tcPr>
            <w:gridSpan w:val="2"/>
            <w:tcW w:w="5194" w:type="dxa"/>
          </w:tcPr>
          <w:p>
            <w:pPr>
              <w:pStyle w:val="0"/>
              <w:jc w:val="right"/>
            </w:pPr>
            <w:r>
              <w:rPr>
                <w:sz w:val="24"/>
              </w:rPr>
              <w:t xml:space="preserve">Максимальная продолжительность ДЭ ПУ ВЧ:</w:t>
            </w:r>
          </w:p>
        </w:tc>
        <w:tc>
          <w:tcPr>
            <w:tcW w:w="3855" w:type="dxa"/>
          </w:tcPr>
          <w:p>
            <w:pPr>
              <w:pStyle w:val="0"/>
              <w:jc w:val="center"/>
            </w:pPr>
            <w:r>
              <w:rPr>
                <w:sz w:val="24"/>
              </w:rPr>
              <w:t xml:space="preserve">0 ч. 00 мин.</w:t>
            </w:r>
          </w:p>
        </w:tc>
      </w:tr>
    </w:tbl>
    <w:p>
      <w:pPr>
        <w:pStyle w:val="0"/>
        <w:jc w:val="both"/>
      </w:pPr>
      <w:r>
        <w:rPr>
          <w:sz w:val="24"/>
        </w:rPr>
      </w:r>
    </w:p>
    <w:p>
      <w:pPr>
        <w:pStyle w:val="0"/>
        <w:jc w:val="center"/>
      </w:pPr>
      <w:r>
        <w:rPr>
          <w:sz w:val="24"/>
        </w:rPr>
        <w:t xml:space="preserve">Образец задания для ГИА ДЭ ПУ ВЧ</w:t>
      </w:r>
    </w:p>
    <w:p>
      <w:pPr>
        <w:pStyle w:val="0"/>
        <w:jc w:val="both"/>
      </w:pPr>
      <w:r>
        <w:rPr>
          <w:sz w:val="24"/>
        </w:rPr>
      </w:r>
    </w:p>
    <w:p>
      <w:pPr>
        <w:pStyle w:val="0"/>
        <w:ind w:firstLine="540"/>
        <w:jc w:val="both"/>
      </w:pPr>
      <w:r>
        <w:rPr>
          <w:sz w:val="24"/>
        </w:rPr>
        <w:t xml:space="preserve">Задание n. &lt;Наименование задания&gt; &lt;16&gt;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Макет экспорта при формировании задания без расширения.</w:t>
      </w:r>
    </w:p>
    <w:p>
      <w:pPr>
        <w:pStyle w:val="0"/>
        <w:jc w:val="both"/>
      </w:pPr>
      <w:r>
        <w:rPr>
          <w:sz w:val="24"/>
        </w:rPr>
      </w:r>
    </w:p>
    <w:p>
      <w:pPr>
        <w:pStyle w:val="0"/>
        <w:ind w:firstLine="540"/>
        <w:jc w:val="both"/>
      </w:pPr>
      <w:r>
        <w:rPr>
          <w:sz w:val="24"/>
        </w:rPr>
        <w:t xml:space="preserve">Текст задания</w:t>
      </w:r>
    </w:p>
    <w:p>
      <w:pPr>
        <w:pStyle w:val="0"/>
        <w:spacing w:before="240" w:lineRule="auto"/>
        <w:ind w:firstLine="540"/>
        <w:jc w:val="both"/>
      </w:pPr>
      <w:r>
        <w:rPr>
          <w:sz w:val="24"/>
        </w:rPr>
        <w:t xml:space="preserve">Необходимые приложения:</w:t>
      </w:r>
    </w:p>
    <w:p>
      <w:pPr>
        <w:pStyle w:val="0"/>
        <w:spacing w:before="240" w:lineRule="auto"/>
        <w:ind w:firstLine="540"/>
        <w:jc w:val="both"/>
      </w:pPr>
      <w:r>
        <w:rPr>
          <w:sz w:val="24"/>
        </w:rPr>
        <w:t xml:space="preserve">Инструкция для администратора центра проведения экзамена:</w:t>
      </w:r>
    </w:p>
    <w:p>
      <w:pPr>
        <w:pStyle w:val="0"/>
        <w:spacing w:before="240" w:lineRule="auto"/>
        <w:ind w:firstLine="540"/>
        <w:jc w:val="both"/>
      </w:pPr>
      <w:r>
        <w:rPr>
          <w:sz w:val="24"/>
        </w:rPr>
        <w:t xml:space="preserve">Инструкция для технического эксперта:</w:t>
      </w:r>
    </w:p>
    <w:p>
      <w:pPr>
        <w:pStyle w:val="0"/>
        <w:jc w:val="both"/>
      </w:pPr>
      <w:r>
        <w:rPr>
          <w:sz w:val="24"/>
        </w:rPr>
      </w:r>
    </w:p>
    <w:p>
      <w:pPr>
        <w:pStyle w:val="0"/>
        <w:ind w:firstLine="540"/>
        <w:jc w:val="both"/>
      </w:pPr>
      <w:r>
        <w:rPr>
          <w:sz w:val="24"/>
        </w:rPr>
        <w:t xml:space="preserve">Задание n. &lt;Наименование задания&gt; &lt;17&gt;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В случае применения "расширения" идентификаторы заданий (номер и наименование) сохраняются в соответствии со спецификацией КИМ ДЭ Том 1 (инвариантная часть).</w:t>
      </w:r>
    </w:p>
    <w:p>
      <w:pPr>
        <w:pStyle w:val="0"/>
        <w:jc w:val="both"/>
      </w:pPr>
      <w:r>
        <w:rPr>
          <w:sz w:val="24"/>
        </w:rPr>
      </w:r>
    </w:p>
    <w:p>
      <w:pPr>
        <w:pStyle w:val="0"/>
        <w:ind w:firstLine="540"/>
        <w:jc w:val="both"/>
      </w:pPr>
      <w:r>
        <w:rPr>
          <w:sz w:val="24"/>
        </w:rPr>
        <w:t xml:space="preserve">Задание инвариантной части КИМ дополняется в вариативной части следующими задачами (действиями):</w:t>
      </w:r>
    </w:p>
    <w:p>
      <w:pPr>
        <w:pStyle w:val="0"/>
        <w:spacing w:before="240" w:lineRule="auto"/>
        <w:ind w:firstLine="540"/>
        <w:jc w:val="both"/>
      </w:pPr>
      <w:r>
        <w:rPr>
          <w:sz w:val="24"/>
        </w:rPr>
        <w:t xml:space="preserve">Текст-дополнение &lt;18&gt;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Если задание инвариантной части КИМ содержало нумерацию, ее необходимо продолжить.</w:t>
      </w:r>
    </w:p>
    <w:p>
      <w:pPr>
        <w:pStyle w:val="0"/>
        <w:jc w:val="both"/>
      </w:pPr>
      <w:r>
        <w:rPr>
          <w:sz w:val="24"/>
        </w:rPr>
      </w:r>
    </w:p>
    <w:p>
      <w:pPr>
        <w:pStyle w:val="0"/>
        <w:ind w:firstLine="540"/>
        <w:jc w:val="both"/>
      </w:pPr>
      <w:r>
        <w:rPr>
          <w:sz w:val="24"/>
        </w:rPr>
        <w:t xml:space="preserve">Необходимые приложения</w:t>
      </w:r>
    </w:p>
    <w:p>
      <w:pPr>
        <w:pStyle w:val="0"/>
        <w:spacing w:before="240" w:lineRule="auto"/>
        <w:ind w:firstLine="540"/>
        <w:jc w:val="both"/>
      </w:pPr>
      <w:r>
        <w:rPr>
          <w:sz w:val="24"/>
        </w:rPr>
        <w:t xml:space="preserve">Инструкция для администратора центра проведения экзамена:</w:t>
      </w:r>
    </w:p>
    <w:p>
      <w:pPr>
        <w:pStyle w:val="0"/>
        <w:spacing w:before="240" w:lineRule="auto"/>
        <w:ind w:firstLine="540"/>
        <w:jc w:val="both"/>
      </w:pPr>
      <w:r>
        <w:rPr>
          <w:sz w:val="24"/>
        </w:rPr>
        <w:t xml:space="preserve">Инструкция для технического эксперта:</w:t>
      </w:r>
    </w:p>
    <w:p>
      <w:pPr>
        <w:pStyle w:val="0"/>
        <w:jc w:val="both"/>
      </w:pPr>
      <w:r>
        <w:rPr>
          <w:sz w:val="24"/>
        </w:rPr>
      </w:r>
    </w:p>
    <w:p>
      <w:pPr>
        <w:pStyle w:val="0"/>
        <w:outlineLvl w:val="3"/>
        <w:jc w:val="center"/>
      </w:pPr>
      <w:r>
        <w:rPr>
          <w:sz w:val="24"/>
        </w:rPr>
        <w:t xml:space="preserve">2.6. Примерный план застройки площадки ДЭ</w:t>
      </w:r>
    </w:p>
    <w:p>
      <w:pPr>
        <w:pStyle w:val="0"/>
        <w:jc w:val="both"/>
      </w:pPr>
      <w:r>
        <w:rPr>
          <w:sz w:val="24"/>
        </w:rPr>
      </w:r>
    </w:p>
    <w:p>
      <w:pPr>
        <w:pStyle w:val="0"/>
        <w:ind w:firstLine="540"/>
        <w:jc w:val="both"/>
      </w:pPr>
      <w:r>
        <w:rPr>
          <w:sz w:val="24"/>
        </w:rPr>
        <w:t xml:space="preserve">Пример оформления плана застройки ЦПДЭ для проведения ГИА ДЭ ПУ ВЧ представлен на рисунке 1.</w:t>
      </w:r>
    </w:p>
    <w:p>
      <w:pPr>
        <w:pStyle w:val="0"/>
        <w:jc w:val="both"/>
      </w:pPr>
      <w:r>
        <w:rPr>
          <w:sz w:val="24"/>
        </w:rPr>
      </w:r>
    </w:p>
    <w:p>
      <w:pPr>
        <w:pStyle w:val="0"/>
        <w:jc w:val="center"/>
      </w:pPr>
      <w:r>
        <w:rPr>
          <w:position w:val="-192"/>
        </w:rPr>
        <w:drawing>
          <wp:inline distT="0" distB="0" distL="0" distR="0">
            <wp:extent cx="6014085" cy="2592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6014085" cy="2592070"/>
                    </a:xfrm>
                    <a:prstGeom prst="rect">
                      <a:avLst/>
                    </a:prstGeom>
                    <a:noFill/>
                    <a:ln>
                      <a:noFill/>
                    </a:ln>
                  </pic:spPr>
                </pic:pic>
              </a:graphicData>
            </a:graphic>
          </wp:inline>
        </w:drawing>
      </w:r>
    </w:p>
    <w:p>
      <w:pPr>
        <w:pStyle w:val="0"/>
        <w:jc w:val="both"/>
      </w:pPr>
      <w:r>
        <w:rPr>
          <w:sz w:val="24"/>
        </w:rPr>
      </w:r>
    </w:p>
    <w:p>
      <w:pPr>
        <w:pStyle w:val="0"/>
        <w:jc w:val="center"/>
      </w:pPr>
      <w:r>
        <w:rPr>
          <w:sz w:val="24"/>
        </w:rPr>
        <w:t xml:space="preserve">Рисунок 1</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&lt;Письмо&gt; Минпросвещения России от 17.09.2026 N 05-2170</w:t>
            <w:br/>
            <w:t>"О направлении методических указаний"</w:t>
            <w:br/>
            <w:t>(вместе с "Методическими ук...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4581&amp;date=16.10.2026&amp;dst=100020&amp;field=134" TargetMode = "External"/><Relationship Id="rId9" Type="http://schemas.openxmlformats.org/officeDocument/2006/relationships/hyperlink" Target="https://login.consultant.ru/link/?req=doc&amp;base=LAW&amp;n=527217&amp;date=16.10.2026&amp;dst=1256&amp;field=134" TargetMode = "External"/><Relationship Id="rId10" Type="http://schemas.openxmlformats.org/officeDocument/2006/relationships/hyperlink" Target="https://login.consultant.ru/link/?req=doc&amp;base=LAW&amp;n=527217&amp;date=16.10.2026&amp;dst=1253&amp;field=134" TargetMode = "External"/><Relationship Id="rId11" Type="http://schemas.openxmlformats.org/officeDocument/2006/relationships/hyperlink" Target="https://login.consultant.ru/link/?req=doc&amp;base=LAW&amp;n=535140&amp;date=16.10.2026&amp;dst=100016&amp;field=134" TargetMode = "External"/><Relationship Id="rId12" Type="http://schemas.openxmlformats.org/officeDocument/2006/relationships/hyperlink" Target="https://login.consultant.ru/link/?req=doc&amp;base=LAW&amp;n=535140&amp;date=16.10.2026&amp;dst=100034&amp;field=134" TargetMode = "External"/><Relationship Id="rId13" Type="http://schemas.openxmlformats.org/officeDocument/2006/relationships/hyperlink" Target="https://login.consultant.ru/link/?req=doc&amp;base=LAW&amp;n=535140&amp;date=16.10.2026&amp;dst=74&amp;field=134" TargetMode = "External"/><Relationship Id="rId14" Type="http://schemas.openxmlformats.org/officeDocument/2006/relationships/hyperlink" Target="https://login.consultant.ru/link/?req=doc&amp;base=LAW&amp;n=534581&amp;date=16.10.2026&amp;dst=100010&amp;field=134" TargetMode = "External"/><Relationship Id="rId15" Type="http://schemas.openxmlformats.org/officeDocument/2006/relationships/hyperlink" Target="https://login.consultant.ru/link/?req=doc&amp;base=LAW&amp;n=534581&amp;date=16.10.2026&amp;dst=100014&amp;field=134" TargetMode = "External"/><Relationship Id="rId16" Type="http://schemas.openxmlformats.org/officeDocument/2006/relationships/hyperlink" Target="https://login.consultant.ru/link/?req=doc&amp;base=LAW&amp;n=534581&amp;date=16.10.2026&amp;dst=100015&amp;field=134" TargetMode = "External"/><Relationship Id="rId17" Type="http://schemas.openxmlformats.org/officeDocument/2006/relationships/hyperlink" Target="https://login.consultant.ru/link/?req=doc&amp;base=LAW&amp;n=534581&amp;date=16.10.2026&amp;dst=100016&amp;field=134" TargetMode = "External"/><Relationship Id="rId18" Type="http://schemas.openxmlformats.org/officeDocument/2006/relationships/hyperlink" Target="https://login.consultant.ru/link/?req=doc&amp;base=LAW&amp;n=527217&amp;date=16.10.2026&amp;dst=1256&amp;field=134" TargetMode = "External"/><Relationship Id="rId19" Type="http://schemas.openxmlformats.org/officeDocument/2006/relationships/hyperlink" Target="https://login.consultant.ru/link/?req=doc&amp;base=LAW&amp;n=527217&amp;date=16.10.2026&amp;dst=1256&amp;field=134" TargetMode = "External"/><Relationship Id="rId20" Type="http://schemas.openxmlformats.org/officeDocument/2006/relationships/hyperlink" Target="https://login.consultant.ru/link/?req=doc&amp;base=LAW&amp;n=527217&amp;date=16.10.2026&amp;dst=1257&amp;field=134" TargetMode = "External"/><Relationship Id="rId21" Type="http://schemas.openxmlformats.org/officeDocument/2006/relationships/hyperlink" Target="https://login.consultant.ru/link/?req=doc&amp;base=LAW&amp;n=534581&amp;date=16.10.2026&amp;dst=100016&amp;field=134" TargetMode = "External"/><Relationship Id="rId22" Type="http://schemas.openxmlformats.org/officeDocument/2006/relationships/hyperlink" Target="https://login.consultant.ru/link/?req=doc&amp;base=LAW&amp;n=534581&amp;date=16.10.2026&amp;dst=100025&amp;field=134" TargetMode = "External"/><Relationship Id="rId23" Type="http://schemas.openxmlformats.org/officeDocument/2006/relationships/hyperlink" Target="https://login.consultant.ru/link/?req=doc&amp;base=LAW&amp;n=534581&amp;date=16.10.2026&amp;dst=100026&amp;field=134" TargetMode = "External"/><Relationship Id="rId24" Type="http://schemas.openxmlformats.org/officeDocument/2006/relationships/hyperlink" Target="https://login.consultant.ru/link/?req=doc&amp;base=LAW&amp;n=534581&amp;date=16.10.2026&amp;dst=100014&amp;field=134" TargetMode = "External"/><Relationship Id="rId25" Type="http://schemas.openxmlformats.org/officeDocument/2006/relationships/hyperlink" Target="https://login.consultant.ru/link/?req=doc&amp;base=LAW&amp;n=535140&amp;date=16.10.2026&amp;dst=88&amp;field=134" TargetMode = "External"/><Relationship Id="rId26" Type="http://schemas.openxmlformats.org/officeDocument/2006/relationships/hyperlink" Target="https://login.consultant.ru/link/?req=doc&amp;base=LAW&amp;n=534581&amp;date=16.10.2026&amp;dst=100026&amp;field=134" TargetMode = "External"/><Relationship Id="rId27" Type="http://schemas.openxmlformats.org/officeDocument/2006/relationships/hyperlink" Target="https://login.consultant.ru/link/?req=doc&amp;base=LAW&amp;n=534581&amp;date=16.10.2026&amp;dst=100031&amp;field=134" TargetMode = "External"/><Relationship Id="rId28" Type="http://schemas.openxmlformats.org/officeDocument/2006/relationships/hyperlink" Target="https://login.consultant.ru/link/?req=doc&amp;base=LAW&amp;n=544474&amp;date=16.10.2026" TargetMode = "External"/><Relationship Id="rId29" Type="http://schemas.openxmlformats.org/officeDocument/2006/relationships/hyperlink" Target="https://login.consultant.ru/link/?req=doc&amp;base=LAW&amp;n=544474&amp;date=16.10.2026" TargetMode = "External"/><Relationship Id="rId30" Type="http://schemas.openxmlformats.org/officeDocument/2006/relationships/hyperlink" Target="https://login.consultant.ru/link/?req=doc&amp;base=LAW&amp;n=544474&amp;date=16.10.2026" TargetMode = "External"/><Relationship Id="rId31" Type="http://schemas.openxmlformats.org/officeDocument/2006/relationships/hyperlink" Target="https://login.consultant.ru/link/?req=doc&amp;base=LAW&amp;n=544474&amp;date=16.10.2026" TargetMode = "External"/><Relationship Id="rId32" Type="http://schemas.openxmlformats.org/officeDocument/2006/relationships/hyperlink" Target="https://login.consultant.ru/link/?req=doc&amp;base=LAW&amp;n=544474&amp;date=16.10.2026" TargetMode = "External"/><Relationship Id="rId33" Type="http://schemas.openxmlformats.org/officeDocument/2006/relationships/image" Target="media/image2.jpeg"/></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17.09.2026 N 05-2170
"О направлении методических указаний"
(вместе с "Методическими указаниями по формированию вариативной части контрольных измерительных материалов, спецификации вариативной части контрольных измерительных материалов и критериев их оценивания для проведения демонстрационного экзамена профильного уровня")</dc:title>
  <dcterms:created xsi:type="dcterms:W3CDTF">2026-10-16T02:51:00Z</dcterms:created>
</cp:coreProperties>
</file>