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sdt>
      <w:sdtPr>
        <w15:appearance w15:val="boundingBox"/>
        <w:id w:val="288405641"/>
        <w:docPartObj>
          <w:docPartGallery w:val="Cover Pages"/>
          <w:docPartUnique w:val="true"/>
        </w:docPartObj>
        <w:rPr>
          <w:rFonts w:asciiTheme="majorHAnsi" w:hAnsiTheme="majorHAnsi" w:eastAsiaTheme="majorEastAsia" w:cstheme="majorBidi"/>
          <w:sz w:val="20"/>
          <w:szCs w:val="20"/>
          <w:lang w:eastAsia="en-US"/>
        </w:rPr>
      </w:sdtPr>
      <w:sdtContent>
        <w:p>
          <w:pPr>
            <w:pStyle w:val="960"/>
            <w:jc w:val="center"/>
            <w:rPr>
              <w:rFonts w:ascii="Times New Roman" w:hAnsi="Times New Roman" w:cs="Times New Roman" w:eastAsiaTheme="majorEastAsia"/>
              <w:sz w:val="28"/>
              <w:szCs w:val="28"/>
              <w:highlight w:val="none"/>
            </w:rPr>
          </w:pPr>
          <w:r>
            <w:rPr>
              <w:rFonts w:ascii="Times New Roman" w:hAnsi="Times New Roman" w:cs="Times New Roman" w:eastAsiaTheme="majorEastAsia"/>
              <w:sz w:val="28"/>
              <w:szCs w:val="32"/>
            </w:rPr>
            <w:t xml:space="preserve">                        </w:t>
          </w:r>
          <w:r>
            <w:rPr>
              <w:rFonts w:ascii="Times New Roman" w:hAnsi="Times New Roman" w:cs="Times New Roman" w:eastAsiaTheme="majorEastAsia"/>
              <w:sz w:val="28"/>
              <w:szCs w:val="32"/>
            </w:rPr>
            <w:t xml:space="preserve">                                                                           </w:t>
          </w:r>
          <w:r>
            <w:rPr>
              <w:rFonts w:ascii="Times New Roman" w:hAnsi="Times New Roman" w:cs="Times New Roman" w:eastAsiaTheme="majorEastAsia"/>
              <w:sz w:val="28"/>
              <w:szCs w:val="32"/>
            </w:rPr>
            <w:t xml:space="preserve">ПРОЕКТ</w:t>
          </w:r>
          <w:r>
            <w:rPr>
              <w:rFonts w:ascii="Times New Roman" w:hAnsi="Times New Roman" w:cs="Times New Roman" w:eastAsiaTheme="majorEastAsia"/>
              <w:sz w:val="28"/>
              <w:szCs w:val="28"/>
              <w:highlight w:val="none"/>
            </w:rPr>
          </w:r>
          <w:r>
            <w:rPr>
              <w:rFonts w:ascii="Times New Roman" w:hAnsi="Times New Roman" w:cs="Times New Roman" w:eastAsiaTheme="majorEastAsia"/>
              <w:sz w:val="28"/>
              <w:szCs w:val="28"/>
              <w:highlight w:val="none"/>
            </w:rPr>
          </w:r>
        </w:p>
        <w:p>
          <w:pPr>
            <w:pStyle w:val="960"/>
            <w:jc w:val="center"/>
            <w:rPr>
              <w:rFonts w:ascii="Times New Roman" w:hAnsi="Times New Roman" w:cs="Times New Roman" w:eastAsiaTheme="majorEastAsia"/>
              <w:sz w:val="28"/>
              <w:szCs w:val="28"/>
            </w:rPr>
            <w:pBdr>
              <w:bottom w:val="single" w:color="000000" w:sz="4" w:space="0"/>
            </w:pBdr>
          </w:pPr>
          <w:r>
            <w:rPr>
              <w:rFonts w:ascii="Times New Roman" w:hAnsi="Times New Roman" w:cs="Times New Roman" w:eastAsiaTheme="majorEastAsia"/>
              <w:sz w:val="28"/>
              <w:szCs w:val="32"/>
              <w:highlight w:val="none"/>
            </w:rPr>
          </w:r>
          <w:r>
            <w:rPr>
              <w:rFonts w:ascii="Times New Roman" w:hAnsi="Times New Roman" w:cs="Times New Roman" w:eastAsiaTheme="majorEastAsia"/>
              <w:sz w:val="28"/>
              <w:szCs w:val="28"/>
            </w:rPr>
          </w:r>
          <w:r>
            <w:rPr>
              <w:rFonts w:ascii="Times New Roman" w:hAnsi="Times New Roman" w:cs="Times New Roman" w:eastAsiaTheme="majorEastAsia"/>
              <w:sz w:val="28"/>
              <w:szCs w:val="28"/>
            </w:rPr>
          </w:r>
        </w:p>
        <w:p>
          <w:pPr>
            <w:pStyle w:val="960"/>
            <w:jc w:val="center"/>
            <w:rPr>
              <w:rFonts w:ascii="Times New Roman" w:hAnsi="Times New Roman" w:cs="Times New Roman" w:eastAsiaTheme="majorEastAsia"/>
              <w:sz w:val="28"/>
              <w:szCs w:val="28"/>
              <w:highlight w:val="none"/>
            </w:rPr>
            <w:pBdr>
              <w:bottom w:val="single" w:color="000000" w:sz="4" w:space="0"/>
            </w:pBdr>
          </w:pPr>
          <w:r>
            <w:rPr>
              <w:rFonts w:ascii="Times New Roman" w:hAnsi="Times New Roman" w:cs="Times New Roman" w:eastAsiaTheme="majorEastAsia"/>
              <w:sz w:val="28"/>
              <w:szCs w:val="32"/>
              <w:highlight w:val="none"/>
            </w:rPr>
          </w:r>
          <w:r>
            <w:rPr>
              <w:rFonts w:ascii="Times New Roman" w:hAnsi="Times New Roman" w:cs="Times New Roman" w:eastAsiaTheme="majorEastAsia"/>
              <w:sz w:val="28"/>
              <w:szCs w:val="28"/>
              <w:highlight w:val="none"/>
            </w:rPr>
          </w:r>
          <w:r>
            <w:rPr>
              <w:rFonts w:ascii="Times New Roman" w:hAnsi="Times New Roman" w:cs="Times New Roman" w:eastAsiaTheme="majorEastAsia"/>
              <w:sz w:val="28"/>
              <w:szCs w:val="28"/>
              <w:highlight w:val="none"/>
            </w:rPr>
          </w:r>
        </w:p>
        <w:p>
          <w:pPr>
            <w:pStyle w:val="960"/>
            <w:jc w:val="center"/>
            <w:rPr>
              <w:rFonts w:ascii="Times New Roman" w:hAnsi="Times New Roman" w:cs="Times New Roman" w:eastAsiaTheme="majorEastAsia"/>
              <w:sz w:val="28"/>
              <w:szCs w:val="28"/>
              <w:highlight w:val="none"/>
            </w:rPr>
            <w:pBdr>
              <w:bottom w:val="single" w:color="000000" w:sz="4" w:space="1"/>
            </w:pBdr>
          </w:pPr>
          <w:r>
            <w:rPr>
              <w:rFonts w:ascii="Times New Roman" w:hAnsi="Times New Roman" w:cs="Times New Roman" w:eastAsiaTheme="majorEastAsia"/>
              <w:sz w:val="28"/>
              <w:szCs w:val="32"/>
            </w:rPr>
            <w:t xml:space="preserve">ДЕПАРТАМЕНТ</w:t>
          </w:r>
          <w:r>
            <w:rPr>
              <w:rFonts w:ascii="Times New Roman" w:hAnsi="Times New Roman" w:cs="Times New Roman" w:eastAsiaTheme="majorEastAsia"/>
              <w:sz w:val="28"/>
              <w:szCs w:val="32"/>
            </w:rPr>
            <w:t xml:space="preserve"> ОБРАЗОВАНИЯ </w:t>
          </w:r>
          <w:r>
            <w:rPr>
              <w:rFonts w:ascii="Times New Roman" w:hAnsi="Times New Roman" w:cs="Times New Roman" w:eastAsiaTheme="majorEastAsia"/>
              <w:sz w:val="28"/>
              <w:szCs w:val="28"/>
              <w:highlight w:val="none"/>
            </w:rPr>
          </w:r>
          <w:r>
            <w:rPr>
              <w:rFonts w:ascii="Times New Roman" w:hAnsi="Times New Roman" w:cs="Times New Roman" w:eastAsiaTheme="majorEastAsia"/>
              <w:sz w:val="28"/>
              <w:szCs w:val="28"/>
              <w:highlight w:val="none"/>
            </w:rPr>
          </w:r>
        </w:p>
        <w:p>
          <w:pPr>
            <w:pStyle w:val="960"/>
            <w:jc w:val="center"/>
            <w:rPr>
              <w:rFonts w:ascii="Times New Roman" w:hAnsi="Times New Roman" w:cs="Times New Roman" w:eastAsiaTheme="majorEastAsia"/>
              <w:sz w:val="28"/>
              <w:szCs w:val="32"/>
            </w:rPr>
            <w:pBdr>
              <w:bottom w:val="single" w:color="000000" w:sz="4" w:space="1"/>
            </w:pBdr>
          </w:pPr>
          <w:r>
            <w:rPr>
              <w:rFonts w:ascii="Times New Roman" w:hAnsi="Times New Roman" w:cs="Times New Roman" w:eastAsiaTheme="majorEastAsia"/>
              <w:sz w:val="28"/>
              <w:szCs w:val="32"/>
            </w:rPr>
            <w:t xml:space="preserve">ЕВРЕЙСКОЙ АВТОНОМНОЙ ОБЛАСТИ</w:t>
          </w:r>
          <w:r>
            <w:rPr>
              <w:rFonts w:ascii="Times New Roman" w:hAnsi="Times New Roman" w:cs="Times New Roman" w:eastAsiaTheme="majorEastAsia"/>
              <w:sz w:val="28"/>
              <w:szCs w:val="32"/>
            </w:rPr>
          </w:r>
          <w:r>
            <w:rPr>
              <w:rFonts w:ascii="Times New Roman" w:hAnsi="Times New Roman" w:cs="Times New Roman" w:eastAsiaTheme="majorEastAsia"/>
              <w:sz w:val="28"/>
              <w:szCs w:val="32"/>
            </w:rPr>
          </w:r>
        </w:p>
        <w:p>
          <w:pPr>
            <w:pStyle w:val="960"/>
            <w:jc w:val="center"/>
            <w:rPr>
              <w:rFonts w:ascii="Times New Roman" w:hAnsi="Times New Roman" w:cs="Times New Roman" w:eastAsiaTheme="majorEastAsia"/>
              <w:sz w:val="32"/>
              <w:szCs w:val="32"/>
            </w:rPr>
          </w:pP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</w:p>
        <w:p>
          <w:pPr>
            <w:pStyle w:val="960"/>
            <w:jc w:val="center"/>
            <w:rPr>
              <w:rFonts w:ascii="Times New Roman" w:hAnsi="Times New Roman" w:cs="Times New Roman" w:eastAsiaTheme="majorEastAsia"/>
              <w:sz w:val="32"/>
              <w:szCs w:val="32"/>
            </w:rPr>
          </w:pP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</w:p>
        <w:p>
          <w:pPr>
            <w:pStyle w:val="960"/>
            <w:jc w:val="center"/>
            <w:rPr>
              <w:rFonts w:ascii="Times New Roman" w:hAnsi="Times New Roman" w:cs="Times New Roman" w:eastAsiaTheme="majorEastAsia"/>
              <w:sz w:val="32"/>
              <w:szCs w:val="32"/>
            </w:rPr>
          </w:pP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</w:p>
        <w:p>
          <w:pPr>
            <w:pStyle w:val="960"/>
            <w:jc w:val="center"/>
            <w:rPr>
              <w:rFonts w:ascii="Times New Roman" w:hAnsi="Times New Roman" w:cs="Times New Roman" w:eastAsiaTheme="majorEastAsia"/>
              <w:sz w:val="32"/>
              <w:szCs w:val="32"/>
            </w:rPr>
          </w:pP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</w:p>
        <w:p>
          <w:pPr>
            <w:pStyle w:val="960"/>
            <w:jc w:val="center"/>
            <w:rPr>
              <w:rFonts w:ascii="Times New Roman" w:hAnsi="Times New Roman" w:cs="Times New Roman" w:eastAsiaTheme="majorEastAsia"/>
              <w:sz w:val="32"/>
              <w:szCs w:val="32"/>
            </w:rPr>
          </w:pP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</w:p>
        <w:p>
          <w:pPr>
            <w:pStyle w:val="960"/>
            <w:jc w:val="center"/>
            <w:rPr>
              <w:rFonts w:ascii="Times New Roman" w:hAnsi="Times New Roman" w:cs="Times New Roman" w:eastAsiaTheme="majorEastAsia"/>
              <w:sz w:val="32"/>
              <w:szCs w:val="32"/>
            </w:rPr>
          </w:pP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</w:p>
        <w:p>
          <w:pPr>
            <w:pStyle w:val="960"/>
            <w:jc w:val="center"/>
            <w:rPr>
              <w:rFonts w:ascii="Times New Roman" w:hAnsi="Times New Roman" w:cs="Times New Roman" w:eastAsiaTheme="majorEastAsia"/>
              <w:sz w:val="32"/>
              <w:szCs w:val="32"/>
            </w:rPr>
          </w:pP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</w:p>
        <w:p>
          <w:pPr>
            <w:pStyle w:val="960"/>
            <w:jc w:val="center"/>
            <w:rPr>
              <w:rFonts w:ascii="Times New Roman" w:hAnsi="Times New Roman" w:cs="Times New Roman" w:eastAsiaTheme="majorEastAsia"/>
              <w:sz w:val="32"/>
              <w:szCs w:val="32"/>
            </w:rPr>
          </w:pP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</w:p>
        <w:p>
          <w:pPr>
            <w:pStyle w:val="960"/>
            <w:jc w:val="center"/>
            <w:rPr>
              <w:rFonts w:ascii="Times New Roman" w:hAnsi="Times New Roman" w:cs="Times New Roman" w:eastAsiaTheme="majorEastAsia"/>
              <w:sz w:val="32"/>
              <w:szCs w:val="32"/>
            </w:rPr>
          </w:pP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</w:p>
        <w:p>
          <w:pPr>
            <w:pStyle w:val="960"/>
            <w:jc w:val="center"/>
            <w:rPr>
              <w:rFonts w:ascii="Times New Roman" w:hAnsi="Times New Roman" w:cs="Times New Roman" w:eastAsiaTheme="majorEastAsia"/>
              <w:sz w:val="32"/>
              <w:szCs w:val="32"/>
            </w:rPr>
          </w:pP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</w:p>
        <w:p>
          <w:pPr>
            <w:pStyle w:val="960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 w:cs="Times New Roman" w:eastAsiaTheme="majorEastAsia"/>
              <w:b/>
              <w:bCs/>
              <w:sz w:val="28"/>
              <w:szCs w:val="28"/>
            </w:rPr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</w:r>
        </w:p>
        <w:p>
          <w:pPr>
            <w:pStyle w:val="960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 w:cs="Times New Roman" w:eastAsiaTheme="majorEastAsia"/>
              <w:b/>
              <w:bCs/>
              <w:sz w:val="28"/>
              <w:szCs w:val="28"/>
            </w:rPr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ДОКЛАД</w:t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</w:r>
        </w:p>
        <w:p>
          <w:pPr>
            <w:pStyle w:val="960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 результатах обобщения правоприменительной практики при осуществлении федерального государственного контроля (надзора)                         в сфере образования в 2024 году </w:t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</w:r>
        </w:p>
        <w:p>
          <w:pPr>
            <w:pStyle w:val="960"/>
            <w:jc w:val="center"/>
            <w:rPr>
              <w:rFonts w:ascii="Times New Roman" w:hAnsi="Times New Roman" w:cs="Times New Roman" w:eastAsiaTheme="majorEastAsia"/>
              <w:sz w:val="32"/>
              <w:szCs w:val="32"/>
            </w:rPr>
          </w:pP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</w:p>
        <w:p>
          <w:pPr>
            <w:pStyle w:val="960"/>
            <w:jc w:val="center"/>
            <w:rPr>
              <w:rFonts w:ascii="Times New Roman" w:hAnsi="Times New Roman" w:cs="Times New Roman" w:eastAsiaTheme="majorEastAsia"/>
              <w:sz w:val="32"/>
              <w:szCs w:val="32"/>
            </w:rPr>
          </w:pP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</w:p>
        <w:p>
          <w:pPr>
            <w:jc w:val="center"/>
            <w:spacing w:after="0" w:line="240" w:lineRule="auto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</w:r>
          <w:r>
            <w:rPr>
              <w:rFonts w:ascii="Times New Roman" w:hAnsi="Times New Roman" w:cs="Times New Roman"/>
              <w:b/>
            </w:rPr>
          </w:r>
          <w:r>
            <w:rPr>
              <w:rFonts w:ascii="Times New Roman" w:hAnsi="Times New Roman" w:cs="Times New Roman"/>
              <w:b/>
            </w:rPr>
          </w:r>
        </w:p>
        <w:p>
          <w:pPr>
            <w:pStyle w:val="960"/>
            <w:rPr>
              <w:rFonts w:asciiTheme="majorHAnsi" w:hAnsiTheme="majorHAnsi" w:eastAsiaTheme="majorEastAsia" w:cstheme="majorBidi"/>
              <w:sz w:val="36"/>
              <w:szCs w:val="36"/>
            </w:rPr>
          </w:pPr>
          <w:r>
            <w:rPr>
              <w:rFonts w:asciiTheme="majorHAnsi" w:hAnsiTheme="majorHAnsi" w:eastAsiaTheme="majorEastAsia" w:cstheme="majorBidi"/>
              <w:sz w:val="36"/>
              <w:szCs w:val="36"/>
            </w:rPr>
          </w:r>
          <w:r>
            <w:rPr>
              <w:rFonts w:asciiTheme="majorHAnsi" w:hAnsiTheme="majorHAnsi" w:eastAsiaTheme="majorEastAsia" w:cstheme="majorBidi"/>
              <w:sz w:val="36"/>
              <w:szCs w:val="36"/>
            </w:rPr>
          </w:r>
          <w:r>
            <w:rPr>
              <w:rFonts w:asciiTheme="majorHAnsi" w:hAnsiTheme="majorHAnsi" w:eastAsiaTheme="majorEastAsia" w:cstheme="majorBidi"/>
              <w:sz w:val="36"/>
              <w:szCs w:val="36"/>
            </w:rPr>
          </w:r>
        </w:p>
        <w:p>
          <w:pPr>
            <w:pStyle w:val="960"/>
          </w:pPr>
          <w:r/>
          <w:r/>
        </w:p>
        <w:p>
          <w:pPr>
            <w:spacing w:after="0" w:line="240" w:lineRule="auto"/>
          </w:pPr>
          <w:r/>
          <w:r/>
        </w:p>
      </w:sdtContent>
    </w:sdt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</w:r>
      <w:r>
        <w:rPr>
          <w:rFonts w:ascii="Times New Roman" w:hAnsi="Times New Roman" w:cs="Times New Roman"/>
          <w:b/>
          <w:sz w:val="44"/>
          <w:szCs w:val="44"/>
        </w:rPr>
      </w:r>
      <w:r>
        <w:rPr>
          <w:rFonts w:ascii="Times New Roman" w:hAnsi="Times New Roman" w:cs="Times New Roman"/>
          <w:b/>
          <w:sz w:val="44"/>
          <w:szCs w:val="4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  <w:sectPr>
          <w:headerReference w:type="default" r:id="rId9"/>
          <w:footnotePr/>
          <w:endnotePr/>
          <w:type w:val="nextPage"/>
          <w:pgSz w:w="11906" w:h="16838" w:orient="portrait"/>
          <w:pgMar w:top="1134" w:right="851" w:bottom="1134" w:left="1701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</w:rPr>
        <w:t xml:space="preserve">2025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dt>
      <w:sdtPr>
        <w15:appearance w15:val="boundingBox"/>
        <w:id w:val="2678527"/>
        <w:docPartObj>
          <w:docPartGallery w:val="Table of Contents"/>
          <w:docPartUnique w:val="true"/>
        </w:docPartObj>
        <w:rPr>
          <w:rFonts w:asciiTheme="minorHAnsi" w:hAnsiTheme="minorHAnsi" w:eastAsiaTheme="minorHAnsi" w:cstheme="minorBidi"/>
          <w:color w:val="auto"/>
          <w:sz w:val="22"/>
          <w:szCs w:val="22"/>
          <w:lang w:eastAsia="en-US"/>
        </w:rPr>
      </w:sdtPr>
      <w:sdtContent>
        <w:p>
          <w:pPr>
            <w:pStyle w:val="965"/>
            <w:jc w:val="center"/>
            <w:rPr>
              <w:rFonts w:ascii="Times New Roman" w:hAnsi="Times New Roman" w:cs="Times New Roman"/>
              <w:color w:val="000000" w:themeColor="text1"/>
            </w:rPr>
          </w:pPr>
          <w:r>
            <w:rPr>
              <w:rFonts w:ascii="Times New Roman" w:hAnsi="Times New Roman" w:cs="Times New Roman"/>
              <w:color w:val="000000" w:themeColor="text1"/>
            </w:rPr>
            <w:t xml:space="preserve">Оглавление</w:t>
          </w:r>
          <w:r>
            <w:rPr>
              <w:rFonts w:ascii="Times New Roman" w:hAnsi="Times New Roman" w:cs="Times New Roman"/>
              <w:color w:val="000000" w:themeColor="text1"/>
            </w:rPr>
          </w:r>
          <w:r>
            <w:rPr>
              <w:rFonts w:ascii="Times New Roman" w:hAnsi="Times New Roman" w:cs="Times New Roman"/>
              <w:color w:val="000000" w:themeColor="text1"/>
            </w:rPr>
          </w:r>
        </w:p>
      </w:sdtContent>
    </w:sdt>
    <w:p>
      <w:pPr>
        <w:pStyle w:val="941"/>
        <w:jc w:val="center"/>
        <w:spacing w:before="0" w:line="240" w:lineRule="auto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</w:r>
      <w:r>
        <w:rPr>
          <w:rFonts w:ascii="Times New Roman" w:hAnsi="Times New Roman" w:cs="Times New Roman"/>
          <w:color w:val="ff0000"/>
        </w:rPr>
      </w:r>
      <w:r>
        <w:rPr>
          <w:rFonts w:ascii="Times New Roman" w:hAnsi="Times New Roman" w:cs="Times New Roman"/>
          <w:color w:val="ff0000"/>
        </w:rPr>
      </w:r>
    </w:p>
    <w:p>
      <w:pPr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 Общие положения..........................................................................................2-10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 О единообразии подхо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дов к применению департаментом образования Еврейской автономной области и его должностными лицами обязательных требований, законодательства Российской Федерации о федеральном государственном контроле (надзоре) в сфере образования.........................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10-13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 Типичные нарушения обязательных требований, причины, факторы и условия, способствующие возникновению нарушений обязательных требований ………………………………………………………………….13-19 4. Анализ случаев причинения вреда (ущерба) охраняемы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 законом ценностям в сфере образования,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выявление источников и факторов риска причинения вреда (ущерба) ............................................................................19-28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 Предложения об актуализации обязательных требований……………………………………………………………………28-28 6. Выводы и предложения о внесении измен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ений в законодательство Российской Федерации о федеральном государственном контроле (надзоре) в сфере образования…………………………………………………………....28-30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41"/>
        <w:jc w:val="center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41"/>
        <w:jc w:val="center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41"/>
        <w:jc w:val="center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41"/>
        <w:jc w:val="center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41"/>
        <w:jc w:val="center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41"/>
        <w:jc w:val="center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41"/>
        <w:jc w:val="center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41"/>
        <w:jc w:val="center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41"/>
        <w:jc w:val="center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41"/>
        <w:jc w:val="center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41"/>
        <w:jc w:val="center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41"/>
        <w:jc w:val="center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41"/>
        <w:jc w:val="left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41"/>
        <w:jc w:val="left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41"/>
        <w:jc w:val="left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41"/>
        <w:jc w:val="left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41"/>
        <w:jc w:val="left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left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left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left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left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contextualSpacing/>
        <w:ind w:firstLine="708"/>
        <w:jc w:val="center"/>
        <w:spacing w:after="0" w:afterAutospacing="1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1. Общие положения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contextualSpacing/>
        <w:ind w:firstLine="708"/>
        <w:jc w:val="center"/>
        <w:spacing w:after="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 о результатах обобщения пра</w:t>
      </w:r>
      <w:r>
        <w:rPr>
          <w:rFonts w:ascii="Times New Roman" w:hAnsi="Times New Roman" w:cs="Times New Roman"/>
          <w:sz w:val="28"/>
          <w:szCs w:val="28"/>
        </w:rPr>
        <w:t xml:space="preserve">воприменительной практики  департамента образования Еврейской автономной области                                                                (далее – департамент образования) при осуществлении федерального государственного контроля (надзора) в сфере обр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зования в 2024 году подготовлен в соответствии со статьей 47 Федерального закона от 31 июля 2020 г. № 248-ФЗ «О государственном контроле (надзоре) и муниципальном контроле в Российской Федерации» (далее – Федеральный закон № 248-ФЗ), пунктом 15 Положения </w:t>
      </w:r>
      <w:r>
        <w:rPr>
          <w:rFonts w:ascii="Times New Roman" w:hAnsi="Times New Roman" w:cs="Times New Roman"/>
          <w:sz w:val="28"/>
          <w:szCs w:val="28"/>
        </w:rPr>
        <w:t xml:space="preserve">о федеральном государственном контроле (надзоре) в сфере образования, утвержденного постановлением Правительства Российской Федерации от 25 июня 2021 г. № 997 (далее – Положение о контроле в сфере образования № 997).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нализ и обобщени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правоприменительной практики контрол</w:t>
      </w:r>
      <w:r>
        <w:rPr>
          <w:rFonts w:ascii="Times New Roman" w:hAnsi="Times New Roman" w:cs="Times New Roman"/>
          <w:sz w:val="28"/>
          <w:szCs w:val="28"/>
        </w:rPr>
        <w:t xml:space="preserve">ьной (</w:t>
      </w:r>
      <w:r>
        <w:rPr>
          <w:rFonts w:ascii="Times New Roman" w:hAnsi="Times New Roman" w:cs="Times New Roman"/>
          <w:sz w:val="28"/>
          <w:szCs w:val="28"/>
        </w:rPr>
        <w:t xml:space="preserve">надзорной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в сфере образования подготовлен в целях: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обеспечени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единства практики применения федеральных законов и</w:t>
      </w:r>
      <w:r>
        <w:rPr>
          <w:rFonts w:ascii="Times New Roman" w:hAnsi="Times New Roman" w:cs="Times New Roman"/>
          <w:sz w:val="28"/>
          <w:szCs w:val="28"/>
        </w:rPr>
        <w:t xml:space="preserve"> иных нормативных правовых актов Российской Федерации, законов </w:t>
      </w:r>
      <w:r>
        <w:rPr>
          <w:rFonts w:ascii="Times New Roman" w:hAnsi="Times New Roman" w:cs="Times New Roman"/>
          <w:sz w:val="28"/>
          <w:szCs w:val="28"/>
        </w:rPr>
        <w:t xml:space="preserve">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  <w:t xml:space="preserve"> и иных нормативных правовых актов </w:t>
      </w:r>
      <w:r>
        <w:rPr>
          <w:rFonts w:ascii="Times New Roman" w:hAnsi="Times New Roman" w:cs="Times New Roman"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sz w:val="28"/>
          <w:szCs w:val="28"/>
        </w:rPr>
        <w:t xml:space="preserve">, нормативных правовых актов органов местного самоуправления, иных нормативных документов, обязательность применения которых установлена законодательством Российской Федерации (далее – обязательные требования);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обеспечени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доступности и открытости сведений о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правоприменительной практике </w:t>
      </w:r>
      <w:r>
        <w:rPr>
          <w:rFonts w:ascii="Times New Roman" w:hAnsi="Times New Roman" w:cs="Times New Roman"/>
          <w:sz w:val="28"/>
          <w:szCs w:val="28"/>
        </w:rPr>
        <w:t xml:space="preserve">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путем их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публикации для сведения подконтрольных субъектов;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снижени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количества нарушений обязательных требований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повышения уровня защищенности охраняемых законом ценностей за</w:t>
      </w:r>
      <w:r>
        <w:rPr>
          <w:rFonts w:ascii="Times New Roman" w:hAnsi="Times New Roman" w:cs="Times New Roman"/>
          <w:sz w:val="28"/>
          <w:szCs w:val="28"/>
        </w:rPr>
        <w:t xml:space="preserve"> счет обеспечения информированности </w:t>
      </w:r>
      <w:r>
        <w:rPr>
          <w:rFonts w:ascii="Times New Roman" w:hAnsi="Times New Roman" w:cs="Times New Roman"/>
          <w:sz w:val="28"/>
          <w:szCs w:val="28"/>
        </w:rPr>
        <w:t xml:space="preserve">организаций, осуществляющих образовательную деятельность, и индивидуальных предпринимателей, осуществляющих образовательную деятельность (далее – контролируемые лица) 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 практике применения обязательных требований;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совершенствовани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нормативных правовых актов, регулирующих осуществление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государственного контроля (надзора)</w:t>
      </w:r>
      <w:r>
        <w:rPr>
          <w:rFonts w:ascii="Times New Roman" w:hAnsi="Times New Roman" w:cs="Times New Roman"/>
          <w:sz w:val="28"/>
          <w:szCs w:val="28"/>
        </w:rPr>
        <w:t xml:space="preserve"> в сфере образования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Обобщение правоприменительной практики</w:t>
      </w:r>
      <w:r>
        <w:rPr>
          <w:rFonts w:ascii="Times New Roman" w:hAnsi="Times New Roman" w:cs="Times New Roman"/>
          <w:sz w:val="28"/>
          <w:szCs w:val="28"/>
        </w:rPr>
        <w:t xml:space="preserve"> при осуществлении федерального государственного контроля (надзора) в сфере образования проводилось для решения следующих задач: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обеспечение единообразных подходов к применению контрольным (надзорным) органом и его должностными лицами обязательных</w:t>
      </w:r>
      <w:r>
        <w:rPr>
          <w:rFonts w:ascii="Times New Roman" w:hAnsi="Times New Roman" w:cs="Times New Roman"/>
          <w:sz w:val="28"/>
          <w:szCs w:val="28"/>
        </w:rPr>
        <w:t xml:space="preserve"> требований, законодательства Российской Федерации о государственном контроле (надзоре), муниципальном контроле;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выявление типичных нарушений обязательных требований, причин, факторов и условий, способствующих возникновению указанных нарушений; </w:t>
        <w:tab/>
        <w:t xml:space="preserve">3) анали</w:t>
      </w:r>
      <w:r>
        <w:rPr>
          <w:rFonts w:ascii="Times New Roman" w:hAnsi="Times New Roman" w:cs="Times New Roman"/>
          <w:sz w:val="28"/>
          <w:szCs w:val="28"/>
        </w:rPr>
        <w:t xml:space="preserve">з случаев причинения вреда (ущерба) охраняемым законом ценностям, выявление источников и факторов риска причинения вреда (ущерба);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подготовка предложений об актуализации обязательных требований; </w:t>
        <w:tab/>
        <w:t xml:space="preserve">5) подготовка предложений о внесении изменений в законодат</w:t>
      </w:r>
      <w:r>
        <w:rPr>
          <w:rFonts w:ascii="Times New Roman" w:hAnsi="Times New Roman" w:cs="Times New Roman"/>
          <w:sz w:val="28"/>
          <w:szCs w:val="28"/>
        </w:rPr>
        <w:t xml:space="preserve">ельство Российской Федерации о государственном контроле (надзоре), муниципальном контроле.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Предметом федерального государственного контроля (надзора) в сфере образования является: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соблюдение обязательных требований, установленных зак</w:t>
      </w:r>
      <w:r>
        <w:rPr>
          <w:rFonts w:ascii="Times New Roman" w:hAnsi="Times New Roman" w:cs="Times New Roman"/>
          <w:sz w:val="28"/>
          <w:szCs w:val="28"/>
        </w:rPr>
        <w:t xml:space="preserve">онодательством об образовании, в том числе лицензионных требований к образовательной деятельности и требований, установленных федеральными государственными образовательными стандартами, и требований к выполнению аккредитационных показателей;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соблюдение </w:t>
      </w:r>
      <w:r>
        <w:rPr>
          <w:rFonts w:ascii="Times New Roman" w:hAnsi="Times New Roman" w:cs="Times New Roman"/>
          <w:sz w:val="28"/>
          <w:szCs w:val="28"/>
        </w:rPr>
        <w:t xml:space="preserve">требований по обеспечению доступности для инвалидов объектов социальной, инженерной и транспортной инфраструктур и предоставляемых услуг;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исполнение решений, принимаемых по результатам контрольных (надзорных) мероприятий.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Объектами федерального государс</w:t>
      </w:r>
      <w:r>
        <w:rPr>
          <w:rFonts w:ascii="Times New Roman" w:hAnsi="Times New Roman" w:cs="Times New Roman"/>
          <w:sz w:val="28"/>
          <w:szCs w:val="28"/>
        </w:rPr>
        <w:t xml:space="preserve">твенного контроля (надзора) в сфере образования в соответствии с пунктом 3 Положения о контроле в сфере образования № 997 и с учетом требований пунктов 18, 19, 20 статьи 2, статьи 7 Федерального закона № 273-ФЗ являются организации, осуществляющие о</w:t>
      </w:r>
      <w:r>
        <w:rPr>
          <w:rFonts w:ascii="Times New Roman" w:hAnsi="Times New Roman" w:cs="Times New Roman"/>
          <w:sz w:val="28"/>
          <w:szCs w:val="28"/>
        </w:rPr>
        <w:t xml:space="preserve">бразователь</w:t>
      </w:r>
      <w:r>
        <w:rPr>
          <w:rFonts w:ascii="Times New Roman" w:hAnsi="Times New Roman" w:cs="Times New Roman"/>
          <w:sz w:val="28"/>
          <w:szCs w:val="28"/>
        </w:rPr>
        <w:t xml:space="preserve">ную деятельность на основании лицензии и зарегистрированные по месту нахождения (индивидуальные предприниматели, осуществляющие образовательную деятельность на основании лицензии и зарегистрированные по месту жительства) на территории Еврейской автономной</w:t>
      </w:r>
      <w:r>
        <w:rPr>
          <w:rFonts w:ascii="Times New Roman" w:hAnsi="Times New Roman" w:cs="Times New Roman"/>
          <w:sz w:val="28"/>
          <w:szCs w:val="28"/>
        </w:rPr>
        <w:t xml:space="preserve"> области, за исключением организаций, указанных в пункте 7 части 1 статьи 6 Федерального закона № 273-ФЗ.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Учет объектов федерального государственного контроля (надзора) в сфере образования в 2024 году осуществлялся посредством: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Государст</w:t>
      </w:r>
      <w:r>
        <w:rPr>
          <w:rFonts w:ascii="Times New Roman" w:hAnsi="Times New Roman" w:cs="Times New Roman"/>
          <w:sz w:val="28"/>
          <w:szCs w:val="28"/>
        </w:rPr>
        <w:t xml:space="preserve">венной информационной системы государственного надзора в сфере образования - ГИС АКНДПП;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Государственной автоматизированной информационной системы управления (ГАС «Управление»);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Единого реестра видов федерального государственного контроля (надзора), </w:t>
      </w:r>
      <w:r>
        <w:rPr>
          <w:rFonts w:ascii="Times New Roman" w:hAnsi="Times New Roman" w:cs="Times New Roman"/>
          <w:sz w:val="28"/>
          <w:szCs w:val="28"/>
        </w:rPr>
        <w:t xml:space="preserve">регионального государственного контроля (надзора), муниципального контроля (ЕРВК);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Единого реестра контрольных (надзорных) мероприятий (ЕРКНМ); </w:t>
        <w:tab/>
        <w:t xml:space="preserve">5. Единой системы межведомственного электронного взаимодействия (СМЭВ) – федеральной государственной информац</w:t>
      </w:r>
      <w:r>
        <w:rPr>
          <w:rFonts w:ascii="Times New Roman" w:hAnsi="Times New Roman" w:cs="Times New Roman"/>
          <w:sz w:val="28"/>
          <w:szCs w:val="28"/>
        </w:rPr>
        <w:t xml:space="preserve">ионной системы, предназначенной для организации информационного взаимодействия между информационными системами участников СМЭВ в целях предоставления государственных и муниципальных услуг и исполнения государственных и муниципальных функций в электронной ф</w:t>
      </w:r>
      <w:r>
        <w:rPr>
          <w:rFonts w:ascii="Times New Roman" w:hAnsi="Times New Roman" w:cs="Times New Roman"/>
          <w:sz w:val="28"/>
          <w:szCs w:val="28"/>
        </w:rPr>
        <w:t xml:space="preserve">орме (Программный комплекс «Региональная информационная система межведомственного электронного взаимодействия» (РСМЭВ).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Государственной информационной системы «Сводный реестр лицензий на осуществление образовательной деятельности».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7. Государственной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информационной системы «Реестр организаций, осуществляющих образовательную деятельность по имеющим государственную аккредитацию образовательным программам» (ГИС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еестр).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auto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По состоянию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на 31 декабря 2024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года общее количество объектов федерального государственного контроля (надзора) в сфере образования составило 182 организация (2024 год - 181), осуществляющая образовательную деятельность на территории области, индивидуальных предпринимателей, из которых:</w:t>
      </w:r>
      <w:r>
        <w:rPr>
          <w:rFonts w:ascii="Times New Roman" w:hAnsi="Times New Roman" w:cs="Times New Roman"/>
          <w:color w:val="auto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auto" w:themeColor="text1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57 -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дошкольные образовательные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организации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auto" w:themeColor="text1"/>
        </w:rPr>
      </w:r>
      <w:r>
        <w:rPr>
          <w:rFonts w:ascii="Times New Roman" w:hAnsi="Times New Roman" w:cs="Times New Roman"/>
          <w:color w:val="auto" w:themeColor="text1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auto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63 -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общеобразовательные организации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color w:val="auto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auto" w:themeColor="text1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10 -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профессиональные образовательные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организации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auto" w:themeColor="text1"/>
        </w:rPr>
      </w:r>
      <w:r>
        <w:rPr>
          <w:rFonts w:ascii="Times New Roman" w:hAnsi="Times New Roman" w:cs="Times New Roman"/>
          <w:color w:val="auto" w:themeColor="text1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auto" w:themeColor="text1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23 -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 организации дополнительного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 образования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auto" w:themeColor="text1"/>
        </w:rPr>
      </w:r>
      <w:r>
        <w:rPr>
          <w:rFonts w:ascii="Times New Roman" w:hAnsi="Times New Roman" w:cs="Times New Roman"/>
          <w:color w:val="auto" w:themeColor="text1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auto" w:themeColor="text1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8 -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организации дополнительного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профессионального образования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auto" w:themeColor="text1"/>
        </w:rPr>
      </w:r>
      <w:r>
        <w:rPr>
          <w:rFonts w:ascii="Times New Roman" w:hAnsi="Times New Roman" w:cs="Times New Roman"/>
          <w:color w:val="auto" w:themeColor="text1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auto" w:themeColor="text1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1 -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организации для детей-сирот и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 детей, оставшихся без попечения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родителей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auto" w:themeColor="text1"/>
        </w:rPr>
      </w:r>
      <w:r>
        <w:rPr>
          <w:rFonts w:ascii="Times New Roman" w:hAnsi="Times New Roman" w:cs="Times New Roman"/>
          <w:color w:val="auto" w:themeColor="text1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auto" w:themeColor="text1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3 -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организации, осуществляющие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лечение, оздоровление и (или) отдых </w:t>
      </w:r>
      <w:r>
        <w:rPr>
          <w:rFonts w:ascii="Times New Roman" w:hAnsi="Times New Roman" w:cs="Times New Roman"/>
          <w:color w:val="auto" w:themeColor="text1"/>
        </w:rPr>
      </w:r>
      <w:r>
        <w:rPr>
          <w:rFonts w:ascii="Times New Roman" w:hAnsi="Times New Roman" w:cs="Times New Roman"/>
          <w:color w:val="auto" w:themeColor="text1"/>
        </w:rPr>
      </w:r>
    </w:p>
    <w:p>
      <w:pPr>
        <w:ind w:firstLine="0"/>
        <w:jc w:val="both"/>
        <w:spacing w:after="0" w:line="240" w:lineRule="auto"/>
        <w:widowControl w:val="off"/>
        <w:rPr>
          <w:rFonts w:ascii="Times New Roman" w:hAnsi="Times New Roman" w:cs="Times New Roman"/>
          <w:color w:val="auto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организации, осуществляющие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социальное обслуживание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auto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/>
          <w:color w:val="auto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14 - иные юридические лица;</w:t>
      </w:r>
      <w:r>
        <w:rPr>
          <w:rFonts w:ascii="Times New Roman" w:hAnsi="Times New Roman" w:cs="Times New Roman"/>
          <w:color w:val="auto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auto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3 -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индивидуальные предприниматели, осуществляющие образовательную деятельность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auto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Увеличение объектов произошло за счет вхождения в систему образования спортивных школ.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Федеральный государственный контроль (надзор) в сфере образования осуществляется на основе управления рисками причинения вре</w:t>
      </w:r>
      <w:r>
        <w:rPr>
          <w:rFonts w:ascii="Times New Roman" w:hAnsi="Times New Roman" w:cs="Times New Roman"/>
          <w:sz w:val="28"/>
          <w:szCs w:val="28"/>
        </w:rPr>
        <w:t xml:space="preserve">да (ущерба) охраняемым законом ценностям в сфере образования.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Объекты федерального государственного контроля (надзора) в сфере образования подлежат отнесению к категориям высокого, среднего и низкого риска причинения вреда (ущерба) охраняемым законом ценно</w:t>
      </w:r>
      <w:r>
        <w:rPr>
          <w:rFonts w:ascii="Times New Roman" w:hAnsi="Times New Roman" w:cs="Times New Roman"/>
          <w:sz w:val="28"/>
          <w:szCs w:val="28"/>
        </w:rPr>
        <w:t xml:space="preserve">стям в сфере образования (далее – категории риска).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Критерием тяжести потенциальных негативных последствий возможного несоблюдения обязательных требований с отнесением к низкой категории риска является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еятельность организаций, осуществляющих образовательную деятельность, и индивидуальных предпринимателей, осуществляющих образовательную деятельность, за исключением индивидуальных предпринимателей, осуществляющих образовательную деятельность непосредственн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(далее - контролируемые лица), по реализации одной или нескольких основных образовательных программ и (или) дополнительных образовательных программ, а также образовательных программ, направленных на подготовку служителей и религиозного персонала религиозн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ых организаций (далее - образовательная деятельность контролируемых лиц).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Критериями вероятности несоблюдения обязательных требо</w:t>
      </w:r>
      <w:r>
        <w:rPr>
          <w:rFonts w:ascii="Times New Roman" w:hAnsi="Times New Roman" w:cs="Times New Roman"/>
          <w:sz w:val="28"/>
          <w:szCs w:val="28"/>
        </w:rPr>
        <w:t xml:space="preserve">ваний с отнесением к средней категории риска являются: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1) образовательная деятельность контролируемых лиц при наличии обращения (жалобы, заявления), признанного обоснованным по результатам рассмотрения от физических и юридических лиц, в том</w:t>
      </w:r>
      <w:r>
        <w:rPr>
          <w:rFonts w:ascii="Times New Roman" w:hAnsi="Times New Roman" w:cs="Times New Roman"/>
          <w:sz w:val="28"/>
          <w:szCs w:val="28"/>
        </w:rPr>
        <w:t xml:space="preserve"> числе индивидуальных предпринимателей, государственных и муниципальных органов и их должностных лиц, средств массовой информации, о фактах нарушения контролируемым лицом обязательных требований и (или) исполнения решений, принимаемых по результатам контро</w:t>
      </w:r>
      <w:r>
        <w:rPr>
          <w:rFonts w:ascii="Times New Roman" w:hAnsi="Times New Roman" w:cs="Times New Roman"/>
          <w:sz w:val="28"/>
          <w:szCs w:val="28"/>
        </w:rPr>
        <w:t xml:space="preserve">льных (надзорных) мероприятий, в течение календарного года, предшествующего дате принятия решения об отнесении объекта федерального государственного контроля (надзора) в сфере образования к определенной категории риска;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2) образовательная деятельность конт</w:t>
      </w:r>
      <w:r>
        <w:rPr>
          <w:rFonts w:ascii="Times New Roman" w:hAnsi="Times New Roman" w:cs="Times New Roman"/>
          <w:sz w:val="28"/>
          <w:szCs w:val="28"/>
        </w:rPr>
        <w:t xml:space="preserve">ролируемых лиц при наличии вступившего в законную силу постановления о назначении административного наказания контролируемому лицу за совершение административного правонарушения в сфере образования, предусмотренного одной или несколькими статьями Кодекса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</w:t>
      </w:r>
      <w:r>
        <w:rPr>
          <w:rFonts w:ascii="Times New Roman" w:hAnsi="Times New Roman" w:cs="Times New Roman"/>
          <w:sz w:val="28"/>
          <w:szCs w:val="28"/>
        </w:rPr>
        <w:t xml:space="preserve">нистративных правонарушениях: статьей 5.57, статьей 9.13,                              частью 1 статьи 19.4, статьей 19.4.1, частью 1 статьи 19.5, статьями 19.6, 19.7, 19.20 и 19.30, статьей 19.30.2 (в части сведений о выданных документах об образовании и </w:t>
      </w:r>
      <w:r>
        <w:rPr>
          <w:rFonts w:ascii="Times New Roman" w:hAnsi="Times New Roman" w:cs="Times New Roman"/>
          <w:sz w:val="28"/>
          <w:szCs w:val="28"/>
        </w:rPr>
        <w:t xml:space="preserve">(или) о квалификации, документах об обучении) в период 3 лет, предшествующих дате принятия решения об отнесении объекта федерального государственного контроля (надзора) в сфере образования к определенной категории риска.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бразовательная деятельность контролируемых лиц при несоблюдении аккредитационных показателей, выявленном по результатам аккредитационного мониторинга, в течение 3 лет, предшествующих дате принятия решения об отнесении объекта федерального государственного </w:t>
      </w:r>
      <w:r>
        <w:rPr>
          <w:rFonts w:ascii="Times New Roman" w:hAnsi="Times New Roman" w:cs="Times New Roman"/>
          <w:sz w:val="28"/>
          <w:szCs w:val="28"/>
        </w:rPr>
        <w:t xml:space="preserve">контроля (надзора) в сфере образования к определенной категории риска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Критериями вероятности несоблюдения</w:t>
      </w:r>
      <w:r>
        <w:rPr>
          <w:rFonts w:ascii="Times New Roman" w:hAnsi="Times New Roman" w:cs="Times New Roman"/>
          <w:sz w:val="28"/>
          <w:szCs w:val="28"/>
        </w:rPr>
        <w:t xml:space="preserve"> обязательных требований с отнесением к высокой категории риска является образовательная деятельность контролируемых лиц при одновременном наличии двух и более вышеуказанных критериев вероятности несоблюдения обязательных требований.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Отнесение объекта федерального госу</w:t>
      </w:r>
      <w:r>
        <w:rPr>
          <w:rFonts w:ascii="Times New Roman" w:hAnsi="Times New Roman" w:cs="Times New Roman"/>
          <w:sz w:val="28"/>
          <w:szCs w:val="28"/>
        </w:rPr>
        <w:t xml:space="preserve">дарственного контроля (надзора) в сфере образования к одной из категорий риска осуществляется ежегодно на основе сопоставления его характеристик с утвержденными критериями отнесения объектов федерального государственного контроля (надзора) в сфере образова</w:t>
      </w:r>
      <w:r>
        <w:rPr>
          <w:rFonts w:ascii="Times New Roman" w:hAnsi="Times New Roman" w:cs="Times New Roman"/>
          <w:sz w:val="28"/>
          <w:szCs w:val="28"/>
        </w:rPr>
        <w:t xml:space="preserve">ния к категориям риска.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поступления от контролируемого лица в департамент образования сведений о соответствии объекта федерального государственного контроля (надзора) в сфере образования критериям отнесения объектов федерального государственного контроля (на</w:t>
      </w:r>
      <w:r>
        <w:rPr>
          <w:rFonts w:ascii="Times New Roman" w:hAnsi="Times New Roman" w:cs="Times New Roman"/>
          <w:sz w:val="28"/>
          <w:szCs w:val="28"/>
        </w:rPr>
        <w:t xml:space="preserve">дзора) в сфере образования к категориям риска иной категории риска департамент образования в течение 5 рабочих дней со дня поступления указанных сведений принимает решение об изменении категории риска такого объекта. </w:t>
        <w:tab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Пл</w:t>
      </w:r>
      <w:r>
        <w:rPr>
          <w:rFonts w:ascii="Times New Roman" w:hAnsi="Times New Roman" w:cs="Times New Roman"/>
          <w:sz w:val="28"/>
          <w:szCs w:val="28"/>
        </w:rPr>
        <w:t xml:space="preserve">ановые контрольные (надзорные) мероприятия в виде выездных/документарных проверок в отношении объектов федерального государственного контроля (надзора) в сфере образования, отнесенных к определенным категориям риска, проводятся со следующей периодичностью: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для категории высокого риска – один раз в 3 года;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для категории среднего риска – один раз в 4 года;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отношении объектов контроля, отнесенных к категории низкого риска, плановые контрольные (надзорные) мероприятия не проводятся.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Приказом департамента образования области от 17.09.2024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388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«Об отнесении объектов федерального государственного контроля (надзора) в сфере образования к категориям высокого, среднего и низкого риска причинения вреда (ущерба) охраняемым законом ценностям» определен перечень контролируемых лиц, образовательна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деятельность которых отнесена департаментам образования Еврейской автономной области к объектам федерального государственного контроля (надзора) в сфере образования средней и высокой категории риска причинения вреда (ущерба) охраняемым законом ценностям.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результатам проведенного департаментом образования в 2024 году сопоставления характеристик объектов контроля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 утвержденными критериями их отнесения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категориям риска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объекты контроля были отнесены к следующим категориям риска: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высокий риск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 –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 отсутствуют;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редний риск –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3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объекта (в 2023 год - 5 объектов)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низкий риск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 179 объектов (объекты контроля, не отнесенные к категориям высокого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и среднего риска, в отношении которы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х плановые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контрольные (надзорные) мероприятия не проводятся).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7 части 3 статьи 46 Федерального закона                    № 248-ФЗ перечни объектов федерального государственного контроля (надзора) в сфере образования, отнесенных к кате</w:t>
      </w:r>
      <w:r>
        <w:rPr>
          <w:rFonts w:ascii="Times New Roman" w:hAnsi="Times New Roman" w:cs="Times New Roman"/>
          <w:sz w:val="28"/>
          <w:szCs w:val="28"/>
        </w:rPr>
        <w:t xml:space="preserve">гориям высокого, среднего </w:t>
      </w:r>
      <w:r>
        <w:rPr>
          <w:rFonts w:ascii="Times New Roman" w:hAnsi="Times New Roman" w:cs="Times New Roman"/>
          <w:sz w:val="28"/>
          <w:szCs w:val="28"/>
        </w:rPr>
        <w:t xml:space="preserve">и низкого риска причинения вреда (ущерба) охраняемым законом ценностям в сфере образования размещены на официальном сайте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 информационно-телекоммуникационной сети «Интернет» </w:t>
      </w:r>
      <w:hyperlink r:id="rId11" w:tooltip="https://komobr-eao.ru" w:history="1">
        <w:r>
          <w:rPr>
            <w:rStyle w:val="947"/>
            <w:rFonts w:ascii="Times New Roman" w:hAnsi="Times New Roman" w:cs="Times New Roman"/>
            <w:color w:val="558ed4" w:themeColor="text2" w:themeTint="99"/>
            <w:sz w:val="28"/>
            <w:szCs w:val="28"/>
          </w:rPr>
          <w:t xml:space="preserve">https://komobr-eao.ru</w:t>
        </w:r>
      </w:hyperlink>
      <w:r>
        <w:rPr>
          <w:rFonts w:ascii="Times New Roman" w:hAnsi="Times New Roman" w:cs="Times New Roman"/>
          <w:color w:val="558ed4" w:themeColor="text2" w:themeTint="9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 разделе «Федеральный государственный контроль (надзор) в сфере образования».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частью 9 статьи 23 Федерального закона № 248-ФЗ                                 в целях оценки риска причинения вреда (ущерба) при принятии решения о проведении и выборе вида внепланового контрольного (надзорного) мероприятия  разработаны и</w:t>
      </w:r>
      <w:r>
        <w:rPr>
          <w:rFonts w:ascii="Times New Roman" w:hAnsi="Times New Roman" w:cs="Times New Roman"/>
          <w:sz w:val="28"/>
          <w:szCs w:val="28"/>
        </w:rPr>
        <w:t xml:space="preserve">ндикаторы риска нарушения обязательных требований.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Индикатором риска нарушения обязательных требований является соответствие или отклонение от параметров объекта контроля, которые сами по себе не являются нарушениями обязательных требований, но с высокой с</w:t>
      </w:r>
      <w:r>
        <w:rPr>
          <w:rFonts w:ascii="Times New Roman" w:hAnsi="Times New Roman" w:cs="Times New Roman"/>
          <w:sz w:val="28"/>
          <w:szCs w:val="28"/>
        </w:rPr>
        <w:t xml:space="preserve">тепенью вероятности свидетельствуют о наличии таких нарушений и риска причинения вреда (ущерба) охраняемым законом ценностям.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Федеральной службы по надзору в сфере образования и науки от 4 октября 2021 г. № 1336 «Об утверждении перечня индикаторов</w:t>
      </w:r>
      <w:r>
        <w:rPr>
          <w:rFonts w:ascii="Times New Roman" w:hAnsi="Times New Roman" w:cs="Times New Roman"/>
          <w:sz w:val="28"/>
          <w:szCs w:val="28"/>
        </w:rPr>
        <w:t xml:space="preserve"> риска нарушения обязательных требований, используемых при осуществлении федерального государственного контроля (надзора) в сфере образования» определены следующие индикаторы риска нарушения обязательных требований: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after="0" w:afterAutospacing="1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Непредставление в течение календарного года организацией, осуществляющей образовательную деятельность по основным общеобразовательным программам основного общего образования не менее шести лет на основании лицензии на осуществление образовательной деятель</w:t>
      </w:r>
      <w:r>
        <w:rPr>
          <w:rFonts w:ascii="Times New Roman" w:hAnsi="Times New Roman" w:cs="Times New Roman"/>
          <w:sz w:val="28"/>
          <w:szCs w:val="28"/>
        </w:rPr>
        <w:t xml:space="preserve">н</w:t>
      </w:r>
      <w:r>
        <w:rPr>
          <w:rFonts w:ascii="Times New Roman" w:hAnsi="Times New Roman" w:cs="Times New Roman"/>
          <w:sz w:val="28"/>
          <w:szCs w:val="28"/>
        </w:rPr>
        <w:t xml:space="preserve">ости, оператору федеральной информационной системы «Федеральный реестр сведений о документах об образовании и (или) о квалификации, документах об обучении» (далее - ФИС ФРДО) сведений о документах об образовании в порядке, установленном Правилами формирова</w:t>
      </w:r>
      <w:r>
        <w:rPr>
          <w:rFonts w:ascii="Times New Roman" w:hAnsi="Times New Roman" w:cs="Times New Roman"/>
          <w:sz w:val="28"/>
          <w:szCs w:val="28"/>
        </w:rPr>
        <w:t xml:space="preserve">ния и</w:t>
      </w:r>
      <w:r>
        <w:rPr>
          <w:rFonts w:ascii="Times New Roman" w:hAnsi="Times New Roman" w:cs="Times New Roman"/>
          <w:sz w:val="28"/>
          <w:szCs w:val="28"/>
        </w:rPr>
        <w:t xml:space="preserve"> ведения федеральной информационной системы «Федеральный реестр сведений о документах об образовании и (или) о квалификации, документах об обучении», утвержденными постановлением Правительства Российской Федерации от 31 мая 2021 г. № 825 (далее – Правила).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 Непредставление в течение календарного года организацией, осуществляющей образовательную деятельность по основным общеобразовательным программам среднего общего образования не менее трех лет на основании лицензии на осуществление образовательной деятельн</w:t>
      </w:r>
      <w:r>
        <w:rPr>
          <w:rFonts w:ascii="Times New Roman" w:hAnsi="Times New Roman" w:cs="Times New Roman"/>
          <w:sz w:val="28"/>
          <w:szCs w:val="28"/>
        </w:rPr>
        <w:t xml:space="preserve">ости, оператору ФИС ФРДО сведений о документах об образовании в порядке, установленном Правилами.</w:t>
      </w:r>
      <w:r/>
    </w:p>
    <w:p>
      <w:pPr>
        <w:contextualSpacing/>
        <w:ind w:firstLine="708"/>
        <w:jc w:val="both"/>
        <w:spacing w:after="0" w:afterAutospacing="1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 Непредставление в течение семи месяцев организацией, осуществляющей образовательную деятельность по дополнительным профессиональным программам и (или) основным программам профессионального обучения не менее шести месяцев на основании лицензии на осуществ</w:t>
      </w:r>
      <w:r>
        <w:rPr>
          <w:rFonts w:ascii="Times New Roman" w:hAnsi="Times New Roman" w:cs="Times New Roman"/>
          <w:sz w:val="28"/>
          <w:szCs w:val="28"/>
        </w:rPr>
        <w:t xml:space="preserve">ление образовательной деятельности, оператору ФИС ФРДО сведений о документах о квалификации в порядке, установленном Правилами.</w:t>
      </w:r>
      <w:r/>
    </w:p>
    <w:p>
      <w:pPr>
        <w:contextualSpacing/>
        <w:ind w:firstLine="708"/>
        <w:jc w:val="both"/>
        <w:spacing w:after="0" w:afterAutospacing="1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 Непредставление в течение календарного года организацией, осуществляющей образовательную деятельность по основным профессиональным образовательным программам среднего профессионального образования не менее пяти лет на основании лицензии на осуществление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образовательной деятельности, оператору ФИС ФРДО сведений о документах об образовании и о квалификации в порядке, установленном Правилами.</w:t>
      </w:r>
      <w:r/>
    </w:p>
    <w:p>
      <w:pPr>
        <w:contextualSpacing/>
        <w:ind w:firstLine="708"/>
        <w:jc w:val="both"/>
        <w:spacing w:after="0" w:afterAutospacing="1" w:line="240" w:lineRule="auto"/>
        <w:rPr>
          <w:color w:val="auto"/>
        </w:rPr>
      </w:pP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. Отсутствие доступа к открытым и общедоступным информационным ресурсам, содержащим информацию о деятельности образовательной организации, подлежащую размещению в информационно-телекоммуникационных сетях, в том числе на официальном сайте образовательной ор</w:t>
      </w:r>
      <w:r>
        <w:rPr>
          <w:rFonts w:ascii="Times New Roman" w:hAnsi="Times New Roman" w:cs="Times New Roman"/>
          <w:sz w:val="28"/>
          <w:szCs w:val="28"/>
        </w:rPr>
        <w:t xml:space="preserve">ганизации в сети «Интернет», зафиксированное Федеральной службой по надзору в сфере образования и науки или органом исполнительной власти субъекта Российской Федерации не менее трех раз с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периодичность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ю не чаще одного раза в неделю в период осуществлени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я в соответствии со статьей 97 Федерального закона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от 29 .12.2012 № 273-ФЗ «Об образовании в Российской Федерации»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мониторинга системы образования.</w:t>
      </w:r>
      <w:r>
        <w:rPr>
          <w:color w:val="auto"/>
        </w:rPr>
      </w:r>
      <w:r>
        <w:rPr>
          <w:color w:val="auto"/>
        </w:rPr>
      </w:r>
    </w:p>
    <w:p>
      <w:pPr>
        <w:contextualSpacing/>
        <w:ind w:firstLine="708"/>
        <w:jc w:val="both"/>
        <w:spacing w:after="0" w:afterAutospacing="1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 Превышение в два и более раза численности обучающихся на втором и (или) последующих годах обучения по новым образовательным программам (за исключением образовательных программ, реализация которых осуществляется с использованием сетевой формы реализации о</w:t>
      </w:r>
      <w:r>
        <w:rPr>
          <w:rFonts w:ascii="Times New Roman" w:hAnsi="Times New Roman" w:cs="Times New Roman"/>
          <w:sz w:val="28"/>
          <w:szCs w:val="28"/>
        </w:rPr>
        <w:t xml:space="preserve">бразовательных программ) по сравнению с численностью обучающихся на первом году обучения по указанным программам в текущем учебном году при условии, что реестр лицензий на осуществление образовательной деятельности  был дополнен сведениями о соответствую</w:t>
      </w:r>
      <w:r>
        <w:rPr>
          <w:rFonts w:ascii="Times New Roman" w:hAnsi="Times New Roman" w:cs="Times New Roman"/>
          <w:sz w:val="28"/>
          <w:szCs w:val="28"/>
        </w:rPr>
        <w:t xml:space="preserve">щих профессиях, специальностях, направлениях подготовки, уровнях образования в течение предыдущего учебного года.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7. Количество документов об образовании и о квалификации, сведения о которых представлены организацией, осуществляющей образовательную деятельность на основании лицензии на осуществление образовательной деятельности, по истечении установленного образовател</w:t>
      </w:r>
      <w:r>
        <w:rPr>
          <w:rFonts w:ascii="Times New Roman" w:hAnsi="Times New Roman" w:cs="Times New Roman"/>
          <w:sz w:val="28"/>
          <w:szCs w:val="28"/>
        </w:rPr>
        <w:t xml:space="preserve">ь</w:t>
      </w:r>
      <w:r>
        <w:rPr>
          <w:rFonts w:ascii="Times New Roman" w:hAnsi="Times New Roman" w:cs="Times New Roman"/>
          <w:sz w:val="28"/>
          <w:szCs w:val="28"/>
        </w:rPr>
        <w:t xml:space="preserve">ной программой срока получения образования оператору ФИС ФРДО в порядке, установленном Правилами, составляет менее 50% от численности обучающихся, принятых на обучение в данную организацию для получения среднего профессионального или высшего образования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этой образовательной программе, при условии, что в период срока получения образования данная организация не была лишена государственной аккредитации образовательной деятельности или действие предоставленной этой организации лицензии на осуществление образо</w:t>
      </w:r>
      <w:r>
        <w:rPr>
          <w:rFonts w:ascii="Times New Roman" w:hAnsi="Times New Roman" w:cs="Times New Roman"/>
          <w:sz w:val="28"/>
          <w:szCs w:val="28"/>
        </w:rPr>
        <w:t xml:space="preserve">вательной деятельности не было приостановлено полностью или частично, не проходила процедуру реорганизации.</w:t>
      </w:r>
      <w:r/>
    </w:p>
    <w:p>
      <w:pPr>
        <w:contextualSpacing/>
        <w:ind w:firstLine="708"/>
        <w:jc w:val="both"/>
        <w:spacing w:after="0" w:afterAutospacing="1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8. Количество документов об образовании и о квалификации, сведения о которых представлены организацией, осуществляющей образовательную деятельность на основании лицензии на осуществление образовательной деятельности, оператору ФИС ФРДО по истечении установ</w:t>
      </w:r>
      <w:r>
        <w:rPr>
          <w:rFonts w:ascii="Times New Roman" w:hAnsi="Times New Roman" w:cs="Times New Roman"/>
          <w:sz w:val="28"/>
          <w:szCs w:val="28"/>
        </w:rPr>
        <w:t xml:space="preserve">л</w:t>
      </w:r>
      <w:r>
        <w:rPr>
          <w:rFonts w:ascii="Times New Roman" w:hAnsi="Times New Roman" w:cs="Times New Roman"/>
          <w:sz w:val="28"/>
          <w:szCs w:val="28"/>
        </w:rPr>
        <w:t xml:space="preserve">енного образовательной программой срока получения образования в порядке, установленном Правилами, в два и более раз превышает численность обучающихся, принятых на обучение в данную организацию для получения среднего профессионального или высшего образовани</w:t>
      </w:r>
      <w:r>
        <w:rPr>
          <w:rFonts w:ascii="Times New Roman" w:hAnsi="Times New Roman" w:cs="Times New Roman"/>
          <w:sz w:val="28"/>
          <w:szCs w:val="28"/>
        </w:rPr>
        <w:t xml:space="preserve">я по этой образовательной программе, при условии, что в период срока получения образования данная организация не проходила процедуру реорганизации.</w:t>
      </w:r>
      <w:r/>
    </w:p>
    <w:p>
      <w:pPr>
        <w:contextualSpacing/>
        <w:ind w:firstLine="708"/>
        <w:jc w:val="both"/>
        <w:spacing w:after="0" w:afterAutospacing="1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9. Отсутствие доступа к открытым и общедоступным информационным ресурсам, содержащим информацию о деятельности образовательной организации, подлежащую размещению в информационно-телекоммуникационных сетях, в том числе на официальном сайте образовательной о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ганизации в сети «Интернет», зафиксированное Федеральной службой по надзору в сфере образования и науки или органом исполнительной власти субъекта Российской Федерации не менее трех раз с периодичностью не чаще одного раза в неделю в период осуществления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со статьей 74 Федерального закона от 31 июля 2020 г. №248-ФЗ «О государственном контроле (надзоре) и муниципальном контроле в Российской Федерации» наблюдения за соблюдением обязательных требований (мониторинга безопасности), проводимого на о</w:t>
      </w:r>
      <w:r>
        <w:rPr>
          <w:rFonts w:ascii="Times New Roman" w:hAnsi="Times New Roman" w:cs="Times New Roman"/>
          <w:sz w:val="28"/>
          <w:szCs w:val="28"/>
        </w:rPr>
        <w:t xml:space="preserve">сновании задания руководителя (заместителя руководителя) Федеральной службы по надзору в сфере образования и науки или органа исполнительной власти субъекта Российской Федерации.</w:t>
      </w:r>
      <w:r/>
    </w:p>
    <w:p>
      <w:pPr>
        <w:contextualSpacing/>
        <w:ind w:firstLine="708"/>
        <w:jc w:val="both"/>
        <w:spacing w:after="0" w:afterAutospacing="1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0. Наличие в организации, осуществляющей образовательную деятельность, в течение календарного года 10% и более выпускников, не набравших минимального количества первичных баллов, подтверждающих освоение образовательных программ основного общего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, по одному из обязательных учебных предметов при прохождении государственной итоговой аттестации по основным общеобразовательным программам основного общего образования, от общего количества выпускников.</w:t>
      </w:r>
      <w:r/>
    </w:p>
    <w:p>
      <w:pPr>
        <w:contextualSpacing/>
        <w:ind w:firstLine="708"/>
        <w:jc w:val="both"/>
        <w:spacing w:after="0" w:afterAutospacing="1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1. Наличие в организации, осуществляющей образовательную деятельность, в течение календарного года 20% и более выпускников, получивших неудовлетворительный результат ("незачет") по итоговому собеседованию по русскому языку в основную или дополнительные дат</w:t>
      </w:r>
      <w:r>
        <w:rPr>
          <w:rFonts w:ascii="Times New Roman" w:hAnsi="Times New Roman" w:cs="Times New Roman"/>
          <w:sz w:val="28"/>
          <w:szCs w:val="28"/>
        </w:rPr>
        <w:t xml:space="preserve">ы проведения итогового собеседования по русскому языку, от общего количества выпускников.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2. Наличие в организации, осуществляющей образовательную деятельность, в течение календарного года 10% и более выпускников, не набравших минимального количества баллов единого государственного экзамена, подтверждающее освоение образовательной программы сре</w:t>
      </w:r>
      <w:r>
        <w:rPr>
          <w:rFonts w:ascii="Times New Roman" w:hAnsi="Times New Roman" w:cs="Times New Roman"/>
          <w:sz w:val="28"/>
          <w:szCs w:val="28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него общего образования, или при сдаче государственного выпускного экзамена, получивших отметку ниже удовлетворительной, по одному из обязательных учебных предметов при прохождении государственной итоговой аттестации по основной общеобразовательной програм</w:t>
      </w:r>
      <w:r>
        <w:rPr>
          <w:rFonts w:ascii="Times New Roman" w:hAnsi="Times New Roman" w:cs="Times New Roman"/>
          <w:sz w:val="28"/>
          <w:szCs w:val="28"/>
        </w:rPr>
        <w:t xml:space="preserve">ме среднего общего образования, от общего количества выпускников.</w:t>
      </w:r>
      <w:r/>
    </w:p>
    <w:p>
      <w:pPr>
        <w:contextualSpacing/>
        <w:ind w:firstLine="708"/>
        <w:jc w:val="both"/>
        <w:spacing w:after="0" w:afterAutospacing="1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3. Наличие в организации, осуществляющей образовательную деятельность, в течение календарного года 20% и более выпускников, получивших неудовлетворительный результат ("незачет") по итоговому сочинению (изложению) в основную или дополнительные даты проведен</w:t>
      </w:r>
      <w:r>
        <w:rPr>
          <w:rFonts w:ascii="Times New Roman" w:hAnsi="Times New Roman" w:cs="Times New Roman"/>
          <w:sz w:val="28"/>
          <w:szCs w:val="28"/>
        </w:rPr>
        <w:t xml:space="preserve">ия итогового сочинения (изложения), от общего количества выпускников.</w:t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4. Более 25% обучающихся, принимавших участие в диагностической работе, не выполнили 50% и более заданий диагностической работы в ходе оценивания достижения обучающимися результатов обучения при проведении аккредитационной экспертизы основной образовательн</w:t>
      </w:r>
      <w:r>
        <w:rPr>
          <w:rFonts w:ascii="Times New Roman" w:hAnsi="Times New Roman" w:cs="Times New Roman"/>
          <w:sz w:val="28"/>
          <w:szCs w:val="28"/>
        </w:rPr>
        <w:t xml:space="preserve">ой программы.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color w:val="000000" w:themeColor="text1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пункта 11(4) постановле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ния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планы проведения плановых контрольных (надзорных) мероприятий до 2030 года не включаются плановые контрольные (надзорные) мероприятия в отношении государственных и муниципальных учреждений дошкольного и начального общего образования, основного общего и ср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еднего общего образования, объекты контроля которых отнесены к категории высокого риска, а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отношении таких учреждений может проводиться профилактический визит продолжительностью один день, не предусматривающий возможность отказа от его проведения.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качестве источников формирования Доклада использованы: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результаты контрольных (надзорных)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мероприятий (мониторинги безопасности);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результаты мероприятий по контролю, осуществляемых без взаимо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действия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контролируемыми лицами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индивидуальными предпринимателями;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результаты рассмотрения заявлений и обращений граждан;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результаты производства по делам об административных правонарушениях;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результаты аналитической работы;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работы по осуществлению профилактических мероприятий;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разъяснения, даваемые органами прокуратуры, иными государственными органами по во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просам осуществления контрольной (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надзорной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деятельности.</w:t>
      </w:r>
      <w:r>
        <w:rPr>
          <w:rFonts w:ascii="Times New Roman" w:hAnsi="Times New Roman" w:eastAsia="Times New Roman" w:cs="Times New Roman"/>
          <w:highlight w:val="none"/>
          <w:lang w:eastAsia="ru-RU"/>
        </w:rPr>
      </w:r>
      <w:r>
        <w:rPr>
          <w:rFonts w:ascii="Times New Roman" w:hAnsi="Times New Roman" w:eastAsia="Times New Roman" w:cs="Times New Roman"/>
          <w:highlight w:val="none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Департаментом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обобщены вопросы применения законодательства Российской Федерации в области организации и осуществления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федерального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госуд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арственного контроля (надзора),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обобщены типичные нарушения</w:t>
      </w:r>
      <w:r>
        <w:rPr>
          <w:rFonts w:ascii="Times New Roman" w:hAnsi="Times New Roman" w:cs="Times New Roman"/>
          <w:sz w:val="28"/>
          <w:szCs w:val="28"/>
        </w:rPr>
        <w:t xml:space="preserve"> обязательных требований, </w:t>
      </w:r>
      <w:r>
        <w:rPr>
          <w:rFonts w:ascii="Times New Roman" w:hAnsi="Times New Roman" w:cs="Times New Roman"/>
          <w:sz w:val="28"/>
          <w:szCs w:val="28"/>
        </w:rPr>
        <w:t xml:space="preserve">а также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меры, принимаемые в отношении фактов </w:t>
      </w:r>
      <w:r>
        <w:rPr>
          <w:rFonts w:ascii="Times New Roman" w:hAnsi="Times New Roman" w:cs="Times New Roman"/>
          <w:sz w:val="28"/>
          <w:szCs w:val="28"/>
        </w:rPr>
        <w:t xml:space="preserve">выявленных </w:t>
      </w:r>
      <w:r>
        <w:rPr>
          <w:rFonts w:ascii="Times New Roman" w:hAnsi="Times New Roman" w:cs="Times New Roman"/>
          <w:sz w:val="28"/>
          <w:szCs w:val="28"/>
        </w:rPr>
        <w:t xml:space="preserve">нарушений.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center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contextualSpacing/>
        <w:ind w:firstLine="709"/>
        <w:jc w:val="center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2. Обеспечение единообразных подходов к применению  департамент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ом образования и его должностными лицами обязательных требований законодательства Российской Федерации о государственном контроле (надзоре), муниципальном контроле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Реализация полномочий в сфере контрольной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(надзорной) деятельности осуществляется при соблюдении основных принципов государственного контроля (надзора):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законности и обоснованности действий и решений надзорного органа и его должностных лиц;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стимулировании добросовестного соблюд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ения контролируемыми лицами обязательных требований;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соразмерности вмешательства надзорного органа и его должностных лиц в деятельность контролируемых лиц;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охране прав и законных интересов, уважении достоинства личности, деловой репутации контролируе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мых лиц;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недопустимости злоупотребления правом как со стороны надзорного органа и его должностных лиц, так со стороны граждан и организаций;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6) сохранении должностными лицами надзорного органа информации, составляющей коммерческую, служебную или иную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охраняемую законом тайну;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7) открытости и доступности информации об организации и осуществлении государственного надзора;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8) оперативности и разумности при осуществлении государственного надзора.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Единообразие применения обязательных требований департаментом образования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его должностными лицами основано на формировании единых подходов при осуществлении федерального государственного контроля (надзора) в сфере образования и открытости деятельности департамента образования.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При проведении контрольных (надзорных) мероприятий исполь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зуется единый перечень нормативных правовых актов, оценка соблюдения которых осуществляется департаментом образования при осуществлении федерального государственного контроля (надзора) в сфере образования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Перечень нормативных правовых актов (их отдельных положений) в сфере общего образования, среднего профессионального образования и соответствующего дополнительного профессионального образования, профессионального обучения, дополнительного образования детей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взрослых, содержащих обязательные требования, оценка соблюдения которых осуществляется органами государственной власти субъектов Российской Федерации, осуществляющими переданные полномочия Российской Федерации в сфере образования, в рамках федерального 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сударственного контроля (надзора) в сфере образования» (утв. Минпросвещения России 17.07.2023)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Перечень нормативных правовых актов).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На официальном сайте департамента образования 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змещены: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перечень нормативных правовых актов, содержащих обязательные требования, оценка соблюдения которых осуществляется в рамках федерального государственного контроля (надзора), привлечения к административной ответственности, предоставления лицензии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осуществление образовательной деятельности, государственной аккредитации образовательной деятельности с текстами действующих нормативных правовых актов, с указанием структурных единиц этих актов, содержащих обязательные требования, оценка соблюдения 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торых является предметом контроля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соответствии с требованиями части 5 статьи 8 Федерального закона № 247-ФЗ «Об обязательных требованиях в Российской Федерации» (далее – Федеральный закон № 247-ФЗ), пункта 3 части 3                                   статьи 46 Федерального закона № 248-Ф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З);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информация о порядке досудебного обжалования решений  департамента образования, действий (бездействия) его должностных лиц;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исчерпывающий перечень сведений, которые могут запрашиваться  департаментом образования у контролируемого лица при осуществлении федерального госуда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рственного контроля (надзора) в сфере образования;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информация о консультировании по вопросам, связанным с организацией и осуществлением федерального государственного контроля (надзора) в сфере образования;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информация о профилактическом визите, об объ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явлении предостережения;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6) информация о перечне индикаторов риска нарушения обязательных требований, используемых при осуществлении федерального государственного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контроля (надзора) в сфере образования.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В целях единообразия применения обязательных требований в 2024 году департаментом образования проведено публичное обсуждение результатов правоприменительной практики.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В течение 2024 года с руководителям и заместителями руководителей образовательных организаций, органов местного самоуправления, осуществляющих управление в сфере образования                                   (в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ежиме ВКС)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проводились совещания, коллегии, рабочие тематические встречи), направлялись ответы на вопросы в рамках «горячих телефонных» линий, на которых давались разъяснения о новых обязательных требованиях.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приказом Минэкономразвития России от 31 марта 2021 г. № 151 «О типовых формах документов, используемых контрольным (надзорным) органом» департаментом образования при осуществлении федерального государственного контроля (надзора) в сфере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образования используются следующие формы документов: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решение о проведении выездной проверки;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решение о проведении документарной проверки;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акт выездной проверки, акт документарной проверки;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предостережение о недопустимости нарушения обязательных требований.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применяются единые подходы при использовании форм документов, не утвержденных на федеральном уровне, при проведении контрольных (надзорных) мероприятий, профилактических мероприятий и принимаемых департаментом образования решений, 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ких как: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протокол осмотра помещений, территорий производственных и иных объектов, принадлежащих контролируемому лицу;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предписание, повторное предписание;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мотивированное представление о назначении внеплановой выездной проверки;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требование должно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стного лица о предоставлении документов;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5) задание на проведение мониторинга безопасности;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6) акт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результатам наблюдения за соблюдением обязательных требований (мониторинга безо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пасности);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7) приказ о запрете приема в образовательную организацию;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8) приказ о возобновлении приема в образовательную организацию;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9) уведомление о запрете приема в образо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вательную организацию;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10) уведомление о возобновлении приема в образовательную организацию;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11) уведомление о снятии с контроля предписания;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12) уведомление о проведении обязательного профилактического визита;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13) </w:t>
      </w:r>
      <w:r>
        <w:rPr>
          <w:rFonts w:ascii="Times New Roman" w:hAnsi="Times New Roman" w:eastAsia="Times New Roman" w:cs="Times New Roman"/>
          <w:b w:val="0"/>
          <w:i w:val="0"/>
          <w:sz w:val="28"/>
          <w:szCs w:val="28"/>
        </w:rPr>
        <w:t xml:space="preserve">акт по результатам проведения профилактического визита.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 проводимые контрольные (надзорные) меропри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ятия и профилактические мероприятия учитывались как через информационные системы, так и через специальные журналы учета мероприятий.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Формируются перечни типичных нарушений, выявляемых в деятельности контролируемых лиц.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41"/>
        <w:jc w:val="center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</w:rPr>
        <w:t xml:space="preserve">3. Типичные нарушения обязательных требований, причины, факторы и условия, способствующие возникновению нарушений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941"/>
        <w:jc w:val="center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обязательных требований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941"/>
        <w:jc w:val="both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Мониторинг безопасности относится к контрольным (надзорным) мероприятиям, проводимым без взаимодействия с контролируемым лицом.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color w:val="000000" w:themeColor="text1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2024 году проведено 10 наблюдений за соблюдением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обязательных требований (мониторинга безопасности):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Style w:val="940"/>
        <w:ind w:lef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наблюдение за соблюдением обязательных требований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мониторинг 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езопасности) 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 и обновлени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 информации на официальных сайтах организаций дополнительного образования в информационно-телекоммуникационной сети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(23 ОО);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наблюдение за соблюдением обязательных требований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мониторинг безопасности) 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размещен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ю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информации 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приеме на обучение по образовательным программам среднего профессионального образования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 официальных сайтах профессиональных образовательных организаций в информационно-телекоммуникационной сети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(7 ОО);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40"/>
        <w:ind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наблюдение за соблюдением обязательных требований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мониторинга безопасности)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размещению сведений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документах об образовании и (или) о квалификации, документах об обучении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информационной системе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«Федеральный реестр сведений о документах об образовании и (или) о квалификации, документах об обучении»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(63 ОО);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наблюдение за соблюдением обязательных требований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мониторинга безопасности)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соответствию программ профессиональной подготовки охранников Типовым программам, размещенных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официальных сайтах образовательных организаций в информационно-телекоммуникационной сети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(2 ОО).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firstLine="708"/>
        <w:jc w:val="both"/>
        <w:spacing w:after="0" w:afterAutospacing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5) наблюдение за соблюдением обязательных требований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мониторинга безопасности)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 к размещению сведений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  <w:t xml:space="preserve">в ф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  <w:t xml:space="preserve">едеральной информационной системе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организации для получе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  <w:t xml:space="preserve">ния ср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  <w:t xml:space="preserve">еднего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 (5ОО);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ind w:left="0"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b w:val="0"/>
          <w:bCs w:val="0"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6) наблюдение за соблюдением обязательных требований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мониторинга безопасности)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 к выдачи аттестатов о среднем общем образовании с отличием и медалей «За особые успехи в учении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» I и II степеней (1 ОО);</w:t>
      </w:r>
      <w:r>
        <w:rPr>
          <w:rFonts w:ascii="Times New Roman" w:hAnsi="Times New Roman" w:eastAsia="Times New Roman" w:cs="Times New Roman"/>
          <w:b w:val="0"/>
          <w:bCs w:val="0"/>
          <w:i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olor w:val="000000" w:themeColor="text1"/>
          <w:sz w:val="28"/>
          <w:szCs w:val="28"/>
        </w:rPr>
      </w:r>
    </w:p>
    <w:p>
      <w:pPr>
        <w:ind w:lef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7) наблюдение за соблюдением обязательных требований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мониторинга безопасности)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размещени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ю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информации о реализуемых адаптированных основных общеобразовательных программ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официальных сайтах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дошкольных и общеобразовательных организаций в информационно-телекоммуникационной сети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(14 ОО);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8) наблюдение за соблюдением обязательных требований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мониторинга безопасности)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 к размещению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информации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официальном сайте дошкольных образовательных организаций в информационно-телекоммуникационной сети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(13 ОО);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9) наблюдение за соблюдением обязательных требований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мониторинга безопасности)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размещени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ю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информации о реализуемых основных общеобразовательных программ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на официальных сайтах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общеобразовательных организаций в информационно-телекоммуникационной сети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Интернет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(17 ОО);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ind w:lef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10) наблюдение за соблюдением обязательных требований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мониторинга безопасности)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auto"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размещени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ю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информации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 о персональном составе педагогических работников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на официальных сайтах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образовательных организаций в информационно-телекоммуникационной сети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Интернет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                    (3 ОО).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По результатам проведенных мероприятий выявлены признаки и факты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color w:val="auto"/>
          <w:highlight w:val="none"/>
        </w:rPr>
      </w:pP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нарушений обязательных требований законодательства об образовании,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выдано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53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редостережения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 недопустимости нарушений обязательных требований</w:t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проведения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наблюдения за соблюдением обязательных требований законодательства об образовании (мониторинга безопасности)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выявлены следующие типичные нарушения обязательных требований, установленных законодательством об образовании (риски образовательной деятельности)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1. Нарушение обязательных требов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аний к размещению  и обновлению информации 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на официальных сайтах организаций дополнительного образования в информационно-телекоммуникационной сети 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(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част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val="ru-RU"/>
        </w:rPr>
        <w:t xml:space="preserve">ь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 2 статьи 29 Федерального закона № 273-ФЗ «Об образовании в Российской Федерации,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пункт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ы 3.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val="ru-RU"/>
        </w:rPr>
        <w:t xml:space="preserve">1-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val="ru-RU"/>
        </w:rPr>
        <w:t xml:space="preserve">3.4, 3.7, 3.10-3.13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Требований к структуре официального сайта образовательной организации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информационно-телекоммуникационной сети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формату представления информации, утвержденных приказом Федеральной службы по надзору в сфере образования и науки от 14.08.2020 № 831,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Правила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утвержденные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от 20.10.2021 № 1802):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1.1.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подраздел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none"/>
          <w:lang w:val="ru-RU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Основные сведения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none"/>
          <w:lang w:val="ru-RU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не содержит информацию: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дате создания образовательной организации;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учредителе (учредителях) образовательной организации;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местах осуществления образовательной деятельности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tabs>
          <w:tab w:val="left" w:pos="709" w:leader="none"/>
        </w:tabs>
        <w:rPr>
          <w:color w:val="000000" w:themeColor="text1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1.2.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Структура и органы управления образовательной организацией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содерж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ит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информацию: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местах нахождения структурных подразделений (органов управления) образовательной организации (при наличии структурных подразделений (органов управления);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адресах официальных сайтов в информационно-телекоммуникационной сети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структурных подразделений (органов управления) образовательной организации (при наличии официальных сайтов);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положениях о структурных подразделениях (об органах управления) образовательной организации с приложением указанных положений в виде электронных документов, подписанных электронной подписью в соответствии с Федеральным законом от 6 апреля 2011 г.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63-ФЗ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электронной подписи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(при наличии структурных подразделений (органов управления).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1.3.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одраздел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Руководство. Педагогический (научно-педагогический) состав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не содержит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информацию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персональном составе педагогических работников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квалификация;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наименовани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направления подготовки и (или) специальности;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общий стаж работы;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стаж работы по специальности/ сведения о продолжительности опыта (лет) работы в профессиональной сфере.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1.4. в подразделе «Образование» образовательные программы не подписаны простой электронной подписью.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1.5.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Финансово-хозяйственная деятельность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не содержит актуальную информацию: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информацию об объеме образовательной деятельности, финансовое обеспечение которой осуществляется: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счет бюджетных ассигнований федерального бюджета;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счет бюджетов субъектов Российской Федерации;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счет местных бюджетов;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договорам об оказании платных образовательных услуг;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информацию о поступлении финансовых и материальных средств по итогам финансового года;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информацию о расходовании финансовых и материальных средств по итогам финансового года;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г) копию плана финансово-хозяйственной деятельности образовательной организации, утвержденного в установленном законодательством Российской Федерации порядке, или бюджетной сметы образовательной организации.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1.6.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Материально-техническое обеспечение и оснащенность образовательного процесса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не содержит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сведени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условиях охраны здоровья обучающихся;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доступе к информационным системам и информационно-телекоммуникационным сетям;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электронных образовательных ресурсах, к которым обеспечивается доступ обучающихся,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а также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собственных электронных образовательных 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информационных ресурсах (при наличии)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40"/>
        <w:ind w:firstLine="709"/>
        <w:jc w:val="both"/>
        <w:spacing w:after="0" w:afterAutospacing="0" w:line="240" w:lineRule="auto"/>
        <w:tabs>
          <w:tab w:val="left" w:pos="851" w:leader="none"/>
          <w:tab w:val="left" w:pos="1134" w:leader="none"/>
          <w:tab w:val="left" w:pos="1276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  <w:highlight w:val="none"/>
        </w:rPr>
        <w:t xml:space="preserve">2.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Нарушение обязательных требований к размещению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информации о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 приеме на обучение по образовательным программам среднего профессионального образования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 на официальных сайтах профессиональных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образовательных организаций в информационно-телекоммуникационной сети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» (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пункты 16, 18, 19, 21.2, 24, 32, 44, 45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Порядка приема на обучение по образовательным программам среднего профессионального образования, утвержденного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приказом Минпросвещения России от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02.09.2020 № 457):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</w:r>
    </w:p>
    <w:p>
      <w:pPr>
        <w:ind w:lef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2.1.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нарушение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пункта 18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Порядка приема на обучение по образовательным программам среднего профессионального образования, утвержденного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приказом 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инпросвещения России от 02.09.2020 № 457, на официальном сайте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образовательной организации не размещена информация: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количество мест, финансируемых за счет бюджетных ассигнований -федерального бюджета, бюджетов субъектов Российской Федерации, местных бюджетов по каждой специальности (профессии), в том числе по различным формам обучения;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количество мест по каждой специальности (профессии) по договорам об оказании платных образовательных услуг, в том числе по различным формам обучения;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образец договора об оказании платных образовательных услуг.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2.2.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нарушение пункта 19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Порядка приема на обучение по образовательным программам среднего профессионального образования, утвержденного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приказом Минпросвещения России от 02.09.2020 № 457,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официальном сайте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образовательной организации: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- не размещены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сведения о количестве поданных заявлений по каждой специальности (профессии) с указанием форм обучени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я (очная, очно-заочная, заочная) (ежедневные);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- отсутствует раздел для ответов на обращения, связанные с приемом в образовательную организацию.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2.3. в нарушение пункта 45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Порядка приема на обучение по образовательным программам среднего профессионального образования, утвержденного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приказом Минпросвещения России от 02.09.2020 № 457,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при приеме на обучение по образовательным программам образовательной организацией не учитываются следующие результаты индивидуальных достижений: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аличие статуса победителя или призера в олимпиадах и иных интеллектуальных и (или) творческих конкурсах, мероприятиях, направленных на развитие интеллектуальных и творческих способностей, способностей к занятиям физической культурой и спортом, интереса к 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достижений, в соответствии с постановлением Правительства Российской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Федерации от 17.11.2015 № 1239 «Об утверждении Правил выявления детей, проявивших выдающиеся способности, сопровождения и мониторинга их дальнейшего развития»;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наличие у поступающего статуса победителя или призера отборочного этапа или финала чемпионата высоких технологий, национального открытого чемпионата творческих компетен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ций «АртМастерс (Мастера Искусств)»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firstLine="709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- 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аличие у поступающего статуса чемпиона или призера Олимпийских игр, Паралимпийских игр и Сурдлимпийских игр, чемпиона мира, чемпиона Европы, лица, занявшего первое место на первенстве мира, первенстве Европы по видам спорта, включенным в программы Олимпийс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ких игр, Паралимпийских игр и Сурдлимпийских игр;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- наличие у поступающего статуса чемпиона мира, чемпиона Европы, лица, занявшего первое место на первенстве мира, первенстве Европы по видам спорта, не включенным в программы Олимпийских игр, Парал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лимпийских игр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и Сурдлимпийских игр.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2.4.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нарушение пункта 45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Порядка приема на обучение по образовательным программам среднего профессионального образования, утвержденного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приказом Минпросвещения России от 02.09.2020 № 457: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851" w:leader="none"/>
          <w:tab w:val="left" w:pos="1134" w:leader="none"/>
          <w:tab w:val="left" w:pos="1276" w:leader="none"/>
        </w:tabs>
        <w:rPr>
          <w:rFonts w:ascii="Times New Roman" w:hAnsi="Times New Roman" w:cs="Times New Roman"/>
          <w:b w:val="0"/>
          <w:bCs/>
          <w:i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при приеме на обучение не учтен результат индивидуальных достижений 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рохождение военной службы по призыву, а также военной службы по контракту, военной службы по мобилизации в Вооруженных Силах Российской Федерации, пребывание в добровольческих формированиях в соответствии с контрактом о добровольном содействии в выполнении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задач, возложенных на Вооруженные Силы Российской Федерации, в ходе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области.</w:t>
      </w:r>
      <w:r>
        <w:rPr>
          <w:rFonts w:ascii="Times New Roman" w:hAnsi="Times New Roman" w:cs="Times New Roman"/>
          <w:b w:val="0"/>
          <w:bCs/>
          <w:i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/>
          <w:i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3. Нарушение обязательных требов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аний к размещению  и обновлению информации 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на официальных сайтах дошкольных образовательных организаций в информационно-телекоммуникационной сети 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(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u w:val="none"/>
        </w:rPr>
        <w:t xml:space="preserve">пункт 21 части 3 статьи 28, части 1-2 статьи 29 Федерального закона от 29.12.2012 № 273-ФЗ «Об образовании в Российской Федерации»;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u w:val="none"/>
        </w:rPr>
        <w:t xml:space="preserve">                             пункты 3-21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u w:val="none"/>
        </w:rPr>
        <w:t xml:space="preserve">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u w:val="none"/>
        </w:rPr>
        <w:t xml:space="preserve">изации, а также о признании утратившими силу некоторых актов и отдельных положений некоторых актов Правительства Российской Федерации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u w:val="none"/>
        </w:rPr>
        <w:t xml:space="preserve">» утвержденных постановлением Правительства Российской Федерации от 20.10.2021 № 1802;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lang w:eastAsia="en-US"/>
        </w:rPr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lang w:eastAsia="en-US"/>
        </w:rPr>
      </w:r>
    </w:p>
    <w:p>
      <w:pPr>
        <w:ind w:firstLine="0"/>
        <w:jc w:val="both"/>
        <w:spacing w:after="0" w:afterAutospacing="0" w:line="240" w:lineRule="auto"/>
        <w:tabs>
          <w:tab w:val="left" w:pos="851" w:leader="none"/>
          <w:tab w:val="left" w:pos="1134" w:leader="none"/>
          <w:tab w:val="left" w:pos="1276" w:leader="none"/>
        </w:tabs>
        <w:rPr>
          <w:rFonts w:ascii="Times New Roman" w:hAnsi="Times New Roman" w:cs="Times New Roman"/>
          <w:color w:val="auto"/>
          <w:highlight w:val="none"/>
          <w:u w:val="singl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sz w:val="28"/>
          <w:szCs w:val="28"/>
          <w:u w:val="none"/>
        </w:rPr>
        <w:t xml:space="preserve">пункты 1-4, 6-27 </w:t>
      </w:r>
      <w:r>
        <w:rPr>
          <w:rFonts w:ascii="Times New Roman" w:hAnsi="Times New Roman" w:eastAsia="Times New Roman" w:cs="Times New Roman"/>
          <w:sz w:val="28"/>
          <w:szCs w:val="28"/>
          <w:u w:val="none"/>
        </w:rPr>
        <w:t xml:space="preserve">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информации, утвержденных </w:t>
      </w:r>
      <w:r>
        <w:rPr>
          <w:rFonts w:ascii="Times New Roman" w:hAnsi="Times New Roman" w:eastAsia="Times New Roman" w:cs="Times New Roman"/>
          <w:sz w:val="28"/>
          <w:szCs w:val="28"/>
          <w:u w:val="none"/>
        </w:rPr>
        <w:t xml:space="preserve">приказом Рособрнадзора от 04.08.2023 № 1493):</w:t>
      </w:r>
      <w:r>
        <w:rPr>
          <w:rFonts w:ascii="Times New Roman" w:hAnsi="Times New Roman" w:cs="Times New Roman"/>
          <w:color w:val="auto"/>
          <w:highlight w:val="none"/>
          <w:u w:val="single"/>
        </w:rPr>
      </w:r>
      <w:r>
        <w:rPr>
          <w:rFonts w:ascii="Times New Roman" w:hAnsi="Times New Roman" w:cs="Times New Roman"/>
          <w:color w:val="auto"/>
          <w:highlight w:val="none"/>
          <w:u w:val="single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3.1. наименование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подразделов: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«Руководство»;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«Педагогический состав»;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«Материально-техническое обеспечение и оснащенность образовательного процесса. Доступная среда» не соответствует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требованиям;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b w:val="0"/>
          <w:bCs w:val="0"/>
          <w:i w:val="0"/>
          <w:strike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  <w:highlight w:val="none"/>
        </w:rPr>
        <w:t xml:space="preserve">3.2.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подразделе «Основные сведения» не размещена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лицензия на осуществление образовательной деятельности (выписка из реестра лицензий на осуществление образовательной деятельности);</w:t>
      </w:r>
      <w:r>
        <w:rPr>
          <w:rFonts w:ascii="Times New Roman" w:hAnsi="Times New Roman" w:cs="Times New Roman"/>
          <w:b w:val="0"/>
          <w:bCs w:val="0"/>
          <w:i w:val="0"/>
          <w:strike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strike w:val="0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  <w:highlight w:val="none"/>
        </w:rPr>
        <w:t xml:space="preserve">3.3.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подразделе «Документы» не размещены копии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локальных нормативных актов образовательной организации по основным вопросам организации и осуществления образовательной деятельности, предусмотренные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Федеральным законом от 29.12.2012 № 273-ФЗ «Об образовании в Российской Федерации»;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3.4. в подразделе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  <w:u w:val="none"/>
        </w:rPr>
        <w:t xml:space="preserve">«Образование»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отсутствует информация о языках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образования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szCs w:val="28"/>
        </w:rPr>
        <w:t xml:space="preserve">(в форме электронного документа)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none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singl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3.5. не актуализированы на 2024/2025 учебный год информация: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об учебном плане с приложением его в виде электронного докумен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та;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 календарном учебном графике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с приложением ег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 в виде электронного документа;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рабочих программах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по учебным предметам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в виде электронного документа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;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рабочей программе воспитания и календарн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ого плана воспитательной работы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singl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singl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u w:val="single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3.5.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подраздел «Материально-техническое обеспечение и оснащенность образовательного процесса. Доступная среда»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не содержит информацию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 специальных условиях для получения образования инвалидами и лицами с ограниченными возможностями здоровья: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об обеспечении доступа в здания образовательной организации;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 наличии специальных технических средств обучения коллективного и индивидуального польз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ования;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3.6.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 обеспечен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доступ к официальным сайтам дошкольных образовательных организаций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сети «Интернет».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69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Главными причинами рисков образовательной деятельности являются: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69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отсутствие необходимых знаний к требованиям действующего законодательства в сфере образования у участников образовательных отношений;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недостаточная информированность участни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ков отношений в сфере образования о содержании новых нормативных актов, устанавливающих обязательные требования законодательства в сфере образования, о внесенных изменениях в действующие нормативные правовые акты, сроках и порядке вступления их в действие;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не добросовестное выполнение своих должностных обязанностей руководителей организаций, осуществляющих образовательную деятельность, в части соблюдения обязательных требований законодательства Российской Федерации в сфере образования;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отсутствие должного контроля со стороны учредителя за соблюдением подведомственными образовательными организациями обязательных требований законодательства Российской Федерации в сфере образования.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0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 w:val="0"/>
        <w:ind w:left="-142" w:firstLine="426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  <w:highlight w:val="none"/>
        </w:rPr>
        <w:outlineLvl w:val="2"/>
      </w:pPr>
      <w:r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4. Анализ случаев причинения вреда (ущерба) охраняемым законом ценностям в сфере образования, выявление источников и факторов риска причинения вреда (ущерба)</w:t>
      </w:r>
      <w:r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  <w:highlight w:val="none"/>
        </w:rPr>
      </w:r>
    </w:p>
    <w:p>
      <w:pPr>
        <w:contextualSpacing w:val="0"/>
        <w:ind w:left="-142" w:firstLine="426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</w:rPr>
        <w:outlineLvl w:val="2"/>
      </w:pPr>
      <w:r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</w:rPr>
      </w:r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Положением о федеральном государственном контроле (надзоре) в сфере образования, утвержденным постановлением Правительства Российской Федерации от 25.06.2021№ 997,</w:t>
      </w:r>
      <w:r>
        <w:rPr>
          <w:rFonts w:ascii="Times New Roman" w:hAnsi="Times New Roman" w:cs="Times New Roman"/>
          <w:sz w:val="28"/>
          <w:szCs w:val="28"/>
        </w:rPr>
        <w:t xml:space="preserve"> при осуществлении федерального государственного контроля (надзора) в сфере образования департамент образования проводит следующие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а) документарная проверка;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б) выездная проверка;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в) наблюдение за соблюдением обязательных требований (мониторинг безопасности).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Плановые контрольные (надзорные) мероприятия проводятся на основании плана проведения плановых контрольных (надзорных) мероприятий на очередной календарный год и подлежащего согласованию с органами прокуратуры.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945"/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Форма проведения плановой проверки определяется на стадии формирования и утверждения плана проведения плановых проверок на предстоящий год.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Внеплановые контрольные (надзорные) мероприятия проводятся в виде документарных и выездных проверок.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Основанием для проведения контрольных (надзорных) мероприятий, </w:t>
      </w:r>
      <w:r>
        <w:rPr>
          <w:rFonts w:ascii="Times New Roman" w:hAnsi="Times New Roman" w:cs="Times New Roman"/>
          <w:sz w:val="28"/>
          <w:szCs w:val="28"/>
        </w:rPr>
        <w:t xml:space="preserve"> являются: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1) наличие у департамента образования сведений о причинении вред</w:t>
      </w:r>
      <w:r>
        <w:rPr>
          <w:rFonts w:ascii="Times New Roman" w:hAnsi="Times New Roman" w:cs="Times New Roman"/>
          <w:sz w:val="28"/>
          <w:szCs w:val="28"/>
        </w:rPr>
        <w:t xml:space="preserve">а (ущерба) или об угрозе причинения вреда (ущерба) охраняемым законом ценностям либо 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2) наступление сроков проведения контрольных (надзорных) мероприятий, включенных в план проведения контрольных (надзорных) мероприятий;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3) поручение Президента Российской Федерации, поручение Правительства Российской Федерации о проведении контрольных (надзорных) мероприятий в отношении конкретных контролируемых лиц;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5) истечение срока исполнения предписания департамента образования об устранении выявленного нарушения обязательных требований - в случаях, установленных </w:t>
      </w:r>
      <w:hyperlink r:id="rId12" w:tooltip="consultantplus://offline/ref=16BB65DB7D4E09C993E4B31989D812A25E2F4B5A519B96E56858EC5F2618D16ABE6FA172D72FF225CEAB04F905684FF1EEE7F02C4B52DE952En4F" w:history="1">
        <w:r>
          <w:rPr>
            <w:rFonts w:ascii="Times New Roman" w:hAnsi="Times New Roman" w:cs="Times New Roman"/>
            <w:sz w:val="28"/>
            <w:szCs w:val="28"/>
          </w:rPr>
          <w:t xml:space="preserve">частью 1 статьи 95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№ 248-ФЗ.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Российской Федерации от</w:t>
      </w:r>
      <w:r>
        <w:rPr>
          <w:rFonts w:ascii="Times New Roman" w:hAnsi="Times New Roman" w:cs="Times New Roman"/>
          <w:sz w:val="28"/>
          <w:szCs w:val="28"/>
        </w:rPr>
        <w:t xml:space="preserve"> 10.03.2022 № 336 «Об особенностях организации и осуществления государственного контроля (надзора), муниципального контроля» в 2022 году</w:t>
      </w:r>
      <w:r>
        <w:rPr>
          <w:rFonts w:ascii="Times New Roman" w:hAnsi="Times New Roman" w:eastAsia="Calibri" w:cs="Times New Roman"/>
          <w:sz w:val="28"/>
          <w:szCs w:val="28"/>
        </w:rPr>
        <w:t xml:space="preserve"> установлен мораторий на проведение плановых контрольных (надзорных) мероприятий.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2024 году оснований для проведения внеплановых проверок не было.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26 Положения </w:t>
      </w:r>
      <w:r>
        <w:rPr>
          <w:rFonts w:ascii="Times New Roman" w:hAnsi="Times New Roman" w:cs="Times New Roman"/>
          <w:sz w:val="28"/>
          <w:szCs w:val="28"/>
        </w:rPr>
        <w:t xml:space="preserve">о контроле в сфере образования № 997</w:t>
      </w:r>
      <w:r>
        <w:rPr>
          <w:rFonts w:ascii="Times New Roman" w:hAnsi="Times New Roman" w:cs="Times New Roman"/>
          <w:sz w:val="28"/>
          <w:szCs w:val="28"/>
        </w:rPr>
        <w:t xml:space="preserve"> должностные лица департамента образования при осуществлении государственного контроля (надзора) в сфере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в отношении объектов государственного контроля (надзора) </w:t>
      </w:r>
      <w:r>
        <w:rPr>
          <w:rFonts w:ascii="Times New Roman" w:hAnsi="Times New Roman" w:cs="Times New Roman"/>
          <w:sz w:val="28"/>
          <w:szCs w:val="28"/>
        </w:rPr>
        <w:t xml:space="preserve">проводят контрольное (надзорное) мероприятие, как</w:t>
      </w:r>
      <w:r>
        <w:rPr>
          <w:rFonts w:ascii="Times New Roman" w:hAnsi="Times New Roman" w:cs="Times New Roman"/>
          <w:sz w:val="28"/>
          <w:szCs w:val="28"/>
        </w:rPr>
        <w:t xml:space="preserve"> наблюдение за соблюдением обязательных требований (мониторинг безопасности).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При наблюдении за соблюдением обязательных требований (мониторинге безопасности) проводит сбор, анализ данных об объектах государственного контроля (надзора), имеющихся у департамента образования, в том числе данных, которые поступают в ходе ме</w:t>
      </w:r>
      <w:r>
        <w:rPr>
          <w:rFonts w:ascii="Times New Roman" w:hAnsi="Times New Roman" w:cs="Times New Roman"/>
          <w:sz w:val="28"/>
          <w:szCs w:val="28"/>
        </w:rPr>
        <w:t xml:space="preserve">жведомственного информационного взаимодействия, представляются контролируемыми лицами в рамках исполнения обязательных требований, а также данных, содержащихся в государственных информационных системах, данных из сети «Интернет», иных общедоступных данных.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данные мониторинга системы образования;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сведения из Единого государственного реестра недвижимости;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сведения из Единого государственного реестра юридических лиц;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сведения о наличии (отсутствии) лицензии на проведение работ с использованием сведений, составляющих государственную тайну (при реализации образовательных программ, содержащих сведения, составляющие государственную тайну);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сведения из </w:t>
      </w:r>
      <w:r>
        <w:rPr>
          <w:rFonts w:ascii="Times New Roman" w:hAnsi="Times New Roman" w:cs="Times New Roman"/>
          <w:sz w:val="28"/>
          <w:szCs w:val="28"/>
        </w:rPr>
        <w:t xml:space="preserve">федеральной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организации для получ</w:t>
      </w:r>
      <w:r>
        <w:rPr>
          <w:rFonts w:ascii="Times New Roman" w:hAnsi="Times New Roman" w:cs="Times New Roman"/>
          <w:sz w:val="28"/>
          <w:szCs w:val="28"/>
        </w:rPr>
        <w:t xml:space="preserve">ения среднего профессионального и высшего образования и региональной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сведения из федеральной информационной системы «Федеральный реестр сведений о </w:t>
      </w:r>
      <w:r>
        <w:rPr>
          <w:rFonts w:ascii="Times New Roman" w:hAnsi="Times New Roman" w:cs="Times New Roman"/>
          <w:sz w:val="28"/>
          <w:szCs w:val="28"/>
        </w:rPr>
        <w:t xml:space="preserve">документах</w:t>
      </w:r>
      <w:r>
        <w:rPr>
          <w:rFonts w:ascii="Times New Roman" w:hAnsi="Times New Roman" w:cs="Times New Roman"/>
          <w:sz w:val="28"/>
          <w:szCs w:val="28"/>
        </w:rPr>
        <w:t xml:space="preserve"> об образовании и (или) о квалификации, документах об обучении»;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сведения из государственной информационной системы государственного надзора в сфере образования;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информация, размещенная на официальных сайтах образовательных организаций в сети «Интернет».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2024 году </w:t>
      </w:r>
      <w:r>
        <w:rPr>
          <w:rFonts w:ascii="Times New Roman" w:hAnsi="Times New Roman" w:cs="Times New Roman"/>
          <w:sz w:val="28"/>
          <w:szCs w:val="28"/>
        </w:rPr>
        <w:t xml:space="preserve">в рамках контрольных (надзорных) мероприятий в  проведено 10 наблюдения за</w:t>
      </w:r>
      <w:r>
        <w:rPr>
          <w:rFonts w:ascii="Times New Roman" w:hAnsi="Times New Roman" w:cs="Times New Roman"/>
          <w:sz w:val="28"/>
          <w:szCs w:val="28"/>
        </w:rPr>
        <w:t xml:space="preserve"> соблюдением обязательных требований (мониторингов безопасности).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осуществления контроля за организацией и проведением государственной итоговой аттестации в 2024 году в отношении участника ГИА  составлен 1 протокол об административном правонарушении, предусмотренном частью 4 статьи 19.30 КоАП РФ.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48"/>
        <w:ind w:firstLine="708"/>
        <w:jc w:val="both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 ре</w:t>
      </w:r>
      <w:r>
        <w:rPr>
          <w:color w:val="000000" w:themeColor="text1"/>
          <w:sz w:val="28"/>
          <w:szCs w:val="28"/>
        </w:rPr>
        <w:t xml:space="preserve">зультатам рассмотрения дел об административном правонарушении вынесено  постановление о привлечении физического лица к административной ответственности с применением административного наказания в виде наложения административного штрафа в сумме 3 тыс. руб.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48"/>
        <w:ind w:firstLine="708"/>
        <w:jc w:val="both"/>
        <w:spacing w:before="0" w:beforeAutospacing="0" w:after="0" w:afterAutospacing="0"/>
        <w:rPr>
          <w:rFonts w:ascii="Times New Roman" w:hAnsi="Times New Roman" w:cs="Times New Roman"/>
          <w:color w:val="auto"/>
        </w:rPr>
      </w:pPr>
      <w:r>
        <w:rPr>
          <w:sz w:val="28"/>
          <w:szCs w:val="28"/>
        </w:rPr>
        <w:t xml:space="preserve">По ре</w:t>
      </w:r>
      <w:r>
        <w:rPr>
          <w:sz w:val="28"/>
          <w:szCs w:val="28"/>
        </w:rPr>
        <w:t xml:space="preserve">зультатам рассмотрения дел об административном правонарушении вынесено  постановление о привлечении  физического лица к административной ответственности с применением административного наказания в виде наложения административного штрафа в сумме 3 тыс. руб.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№ 248-ФЗ при осуществлении федерального государственного контроля (надзора) в сфере образования проведение профилактических мероприятий, направленных на снижение риска причинения вреда (ущерба) охраняемым законом ценнос</w:t>
      </w:r>
      <w:r>
        <w:rPr>
          <w:rFonts w:ascii="Times New Roman" w:hAnsi="Times New Roman" w:cs="Times New Roman"/>
          <w:sz w:val="28"/>
          <w:szCs w:val="28"/>
        </w:rPr>
        <w:t xml:space="preserve">тям, является приоритетным по отношению к проведению контрольных (надзорных) мероприятий.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45"/>
        <w:ind w:left="0"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предупреждения нарушений обязательных требований законодательства об образовании, устран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ения причин, факторов и условий, способствующих нарушениям обязательных требований, департамент образования осуществляет мероприятия по профилактике нарушений обязательных требований законодательства об образовании в соответствии с программой профилактики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рисков причинения вреда (ущерба)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охраняемым законом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ценностям при осуществлении федерального государственного контроля (надзора) в сфере образования на 2024 год, утвержденной приказом департамента образования от 19.12.2022 № 522.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В 2024 году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 рамках данного направления работы департаментом образования осуществлялся следующий перечень мероприятий по профилактике нарушений обязательных требований законодательства Российской Федерации об образовании: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1. Информирование контролируемых лиц.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Информирование контролируемых и иных заинтересованных лиц по вопросам соблюдения обязательных требований, установленных законодательством Российской Федерации об образовании, в том числе лицензионных требований при осуществлении образова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тельной деятель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ности и требований, установленных федеральными государственными образовательными стандартами, осуществляется посредством размещения соответствующих сведений на официальном сайте департамента образования в информационно-телекоммуникационной сети «Интернет» </w:t>
      </w:r>
      <w:hyperlink r:id="rId13" w:tooltip="https://komobr-eao.ru/" w:history="1">
        <w:r>
          <w:rPr>
            <w:rStyle w:val="947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https://komobr-eao.ru/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департамента образования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размещена и поддерживается в актуальном состоянии следующая информация: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тексты нормативных правовых актов, регулирующих осуществление федерального государственного контроля (надзора) в сфере образования;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сведения об изменениях, внесенных в нормативные правовые акты, регулирующие осуществление федерального государственного контроля (надзора) в сфере образования, о сроках и порядке их вступления в силу;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перечень нормативных правовых актов с указанием структурных единиц этих актов, содержащих обязательные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требования, оценка соблюдения которых является предметом федерального государственного контроля (надзора) в сфере образования, а также информация о мерах ответственности, применяемых при нарушении обязательных требований, с текстами в действующей редакции;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руководства по соблюдению обязательных требований;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перечень объектов контроля, учитываемых в рамках формирования ежегодного плана контрольных (надзорных) мероприятий, с указанием категории риска;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исчерпывающий перечень сведений, которые могут запрашиваться контрольным (надзорным) органом у контролируемого лица;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69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информационные и инструктивно-методические письма;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информация о способах получения консультаций по вопросам соблюдения обязательных требований;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сведения о порядке досудебного обжалования решений контрольного (надзорного) органа, действий (бездействия) его должностных лиц.</w:t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</w:p>
    <w:p>
      <w:pPr>
        <w:pStyle w:val="967"/>
        <w:ind w:firstLine="708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Работает «Горячая линия» по актуальным вопросам соблюдения законодательства Российской Федерации в сфере образования.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 Организация и проведение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обобщения правоприменительной практики контрольной (надзорной) деятельности.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Ежегодно осуществляется обобщение правоприменительной практики и не позднее 30 апреля каждого года обеспечивается подготовка проекта докла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да, содержащего результаты обобщения правоприменительной практики департамента образования за предшествующий календарный год, и его размещение на официальном сайте для публичного обсуждения. Срок проведения публичного обсуждения составляет 10 рабочих дней.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Доклад о правоприменительной практике утверждается приказом начальника департамента образования и размещается на официальном сайте департамента образования в информационно-телекоммуникационной сети «Интернет» </w:t>
      </w:r>
      <w:hyperlink r:id="rId14" w:tooltip="https://komobr-eao.ru/" w:history="1">
        <w:r>
          <w:rPr>
            <w:rStyle w:val="947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https://komobr-eao.ru/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1 июня каждого года.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Основные мероприятия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по проведению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обобщения правоприменительной практики контрольной (надзорной) деятельности: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подготовка статистической информации о количестве проведенных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контрольных надзорных мероприятий в сфере образования, в том числе подготовка перечня наиболее часто встречающихся нарушений обязательных требований и проблемных вопросов организации и осуществления государственного контроля (надзора) в  сфере образования;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размещение статистической информации о количестве проведенных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контрольных надзорных мероприятий в сфере образования, в том числе подготовка перечня наиболее часто встречающихся нарушений обязательных требований и проблемных вопросов организации и осуществления государственного контроля (надзора) в  сфере образования;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- подготовка проекта обобщения и анализа правоприменительной практики контрольной (надзорной) деятельности;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/>
          <w:bCs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проведение публичного обсуждения результатов правоприменительной практики законодательства об образовании;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- размещение доклада обобщения и анализа правоприменительной практики контрольной (надзорной) деятельности на официальном сайте департамента образования в информационно - телекоммуникационной сети «Интернет».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апреле 2024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проведено </w:t>
      </w:r>
      <w:r>
        <w:rPr>
          <w:rFonts w:ascii="Times New Roman" w:hAnsi="Times New Roman" w:eastAsia="Times New Roman"/>
          <w:bCs/>
          <w:color w:val="000000" w:themeColor="text1"/>
          <w:sz w:val="28"/>
          <w:szCs w:val="28"/>
          <w:lang w:eastAsia="ru-RU"/>
        </w:rPr>
        <w:t xml:space="preserve">публичное обсуждение результатов правоприменительной практики и мер, необходимых для устранения нарушений требований законодательства Российской Федерации в сфере образования</w:t>
      </w:r>
      <w:r>
        <w:rPr>
          <w:rFonts w:ascii="Times New Roman" w:hAnsi="Times New Roman" w:eastAsia="Times New Roman"/>
          <w:bCs/>
          <w:color w:val="000000" w:themeColor="text1"/>
          <w:sz w:val="28"/>
          <w:szCs w:val="28"/>
          <w:lang w:eastAsia="ru-RU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eastAsia="Times New Roman"/>
          <w:bCs/>
          <w:color w:val="000000" w:themeColor="text1"/>
          <w:sz w:val="28"/>
          <w:szCs w:val="28"/>
          <w:lang w:eastAsia="ru-RU"/>
        </w:rPr>
        <w:t xml:space="preserve">В публичном обсуждении приняли участие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руководители (заместители руководителя) организаций,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реализующих программы начального общего, основного общего, среднего общего образования, а </w:t>
      </w:r>
      <w:r>
        <w:rPr>
          <w:rFonts w:ascii="Times New Roman" w:hAnsi="Times New Roman" w:eastAsia="Times New Roman"/>
          <w:bCs/>
          <w:color w:val="000000" w:themeColor="text1"/>
          <w:sz w:val="28"/>
          <w:szCs w:val="28"/>
          <w:lang w:eastAsia="ru-RU"/>
        </w:rPr>
        <w:t xml:space="preserve">также специалист</w:t>
      </w:r>
      <w:r>
        <w:rPr>
          <w:rFonts w:ascii="Times New Roman" w:hAnsi="Times New Roman" w:eastAsia="Times New Roman"/>
          <w:bCs/>
          <w:color w:val="000000" w:themeColor="text1"/>
          <w:sz w:val="28"/>
          <w:szCs w:val="28"/>
          <w:lang w:eastAsia="ru-RU"/>
        </w:rPr>
        <w:t xml:space="preserve">ы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органов местного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самоуправления, осуществляющие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управление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в сфере образования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79 чел.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).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eastAsia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мероприятия специалистами </w:t>
      </w:r>
      <w:r>
        <w:rPr>
          <w:rFonts w:ascii="Times New Roman" w:hAnsi="Times New Roman" w:cs="Times New Roman"/>
          <w:sz w:val="28"/>
          <w:szCs w:val="28"/>
        </w:rPr>
        <w:t xml:space="preserve">отдела контроля и надзора в сфере образования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освещены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результат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ы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обобщения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правоприменительной практики за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2023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 год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, типичные нарушения</w:t>
      </w:r>
      <w:r>
        <w:rPr>
          <w:rFonts w:ascii="Times New Roman" w:hAnsi="Times New Roman" w:cs="Times New Roman"/>
          <w:sz w:val="28"/>
          <w:szCs w:val="28"/>
        </w:rPr>
        <w:t xml:space="preserve"> обязательных требований законодательства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об образовании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а также меры, необходимые для устранения нарушений требований законодательства Российской Федерации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об образовании.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Были </w:t>
      </w:r>
      <w:r>
        <w:rPr>
          <w:rFonts w:ascii="Times New Roman" w:hAnsi="Times New Roman" w:cs="Times New Roman"/>
          <w:sz w:val="28"/>
          <w:szCs w:val="28"/>
        </w:rPr>
        <w:t xml:space="preserve">даны ответы на поступившие от руководителей образовательных организаций вопросы, полученных в ходе подготовки публичных обсуждений.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Материалы, использованные в ходе проведения данного мероприятия, размещены на сайте департамента образования </w:t>
      </w:r>
      <w:r>
        <w:rPr>
          <w:rFonts w:ascii="Times New Roman" w:hAnsi="Times New Roman" w:cs="Times New Roman"/>
          <w:color w:val="0070c0"/>
          <w:sz w:val="28"/>
          <w:szCs w:val="28"/>
        </w:rPr>
      </w:r>
      <w:hyperlink r:id="rId15" w:tooltip="https://komobr-eao.ru" w:history="1">
        <w:r>
          <w:rPr>
            <w:rStyle w:val="947"/>
            <w:rFonts w:ascii="Times New Roman" w:hAnsi="Times New Roman" w:cs="Times New Roman"/>
            <w:color w:val="0070c0"/>
            <w:sz w:val="28"/>
            <w:szCs w:val="28"/>
          </w:rPr>
          <w:t xml:space="preserve">https://komobr-eao.ru</w:t>
        </w:r>
      </w:hyperlink>
      <w:r>
        <w:rPr>
          <w:rFonts w:ascii="Times New Roman" w:hAnsi="Times New Roman" w:cs="Times New Roman"/>
          <w:color w:val="558ed4" w:themeColor="text2" w:themeTint="9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подразделе «Федеральный государственный контроль (надзор) в сфере образования»/ «Профилактика нарушений обязательных требований». </w:t>
      </w:r>
      <w:r>
        <w:rPr>
          <w:rFonts w:ascii="Times New Roman" w:hAnsi="Times New Roman" w:cs="Times New Roman"/>
          <w:color w:val="558ed4" w:themeColor="text2" w:themeTint="9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ходе мероприятия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/>
        </w:rPr>
        <w:t xml:space="preserve">были освещены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 w:bidi="ru-RU"/>
        </w:rPr>
        <w:t xml:space="preserve">результат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 w:bidi="ru-RU"/>
        </w:rPr>
        <w:t xml:space="preserve">ы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 w:bidi="ru-RU"/>
        </w:rPr>
        <w:t xml:space="preserve">обобщения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 w:bidi="ru-RU"/>
        </w:rPr>
        <w:t xml:space="preserve">правоприменительной практики за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 w:bidi="ru-RU"/>
        </w:rPr>
        <w:t xml:space="preserve">2023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 w:bidi="ru-RU"/>
        </w:rPr>
        <w:t xml:space="preserve"> год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 w:bidi="ru-RU"/>
        </w:rPr>
        <w:t xml:space="preserve">, типичные нарушения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обязательных требований законодательства Российской Федерации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образовании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 w:bidi="ru-RU"/>
        </w:rPr>
        <w:t xml:space="preserve">а также меры, необходимые для устранения нарушений требований законодательства Российской Федерации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 w:bidi="ru-RU"/>
        </w:rPr>
        <w:t xml:space="preserve">об образовании.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 w:bidi="ru-RU"/>
        </w:rPr>
        <w:t xml:space="preserve">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84"/>
        <w:ind w:firstLine="709"/>
        <w:jc w:val="both"/>
        <w:spacing w:before="0" w:beforeAutospacing="0" w:after="0" w:afterAutospacing="0"/>
        <w:shd w:val="clear" w:color="auto" w:fill="ffffff"/>
        <w:rPr>
          <w:color w:val="000000" w:themeColor="text1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Анкет</w:t>
      </w:r>
      <w:r>
        <w:rPr>
          <w:color w:val="000000" w:themeColor="text1"/>
          <w:sz w:val="28"/>
          <w:szCs w:val="28"/>
          <w:highlight w:val="none"/>
        </w:rPr>
        <w:t xml:space="preserve">ирование показало, что </w:t>
      </w:r>
      <w:r>
        <w:rPr>
          <w:color w:val="000000" w:themeColor="text1"/>
          <w:sz w:val="28"/>
          <w:szCs w:val="28"/>
          <w:highlight w:val="none"/>
        </w:rPr>
        <w:t xml:space="preserve">98,6% участников</w:t>
      </w:r>
      <w:r>
        <w:rPr>
          <w:color w:val="000000" w:themeColor="text1"/>
          <w:sz w:val="28"/>
          <w:szCs w:val="28"/>
          <w:highlight w:val="none"/>
        </w:rPr>
        <w:t xml:space="preserve"> положительно оценили организацию и эффективность проведения данного мероприятия, </w:t>
      </w:r>
      <w:r>
        <w:rPr>
          <w:color w:val="000000" w:themeColor="text1"/>
          <w:sz w:val="28"/>
          <w:szCs w:val="28"/>
          <w:highlight w:val="none"/>
        </w:rPr>
        <w:t xml:space="preserve">своевременность и необходимость полученной информации, квалификацию выступающих, а также  открытость и доступность полученной информации.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наличия у департамента образования сведений о готовящихся нарушениях обязате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охраняемым законом ценностям департамент образования  объявляет контролируемому лицу предостережение о недопустимости нарушения обязательных требований (далее - предостережение) и предлагает принять меры по обеспечению соблюдения обязательных требований.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Контролируемое лицо в течение 10 рабочих дней со дня получения предостережения вправе подать в департамент образования возражение в отношении предостережения по почте и (или) электронной почте.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результатам рассмотрения возражения в отношении предостережения департамент образования принимает одно из следующих решений: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удовлетворить возражение в отношении предостережения в форме отмены объявленного предостережения;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отказать в удовлетворении возражения в отношении предостережения.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частью 1 статьи 49 Федерального закона № 248-ФЗ, Положением о ФГК № 997 в течение 2024 года контролируемым лицам  вынесено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53 (2023 г. - 18) предостережения о недопустимости нарушений обязательных требований,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из которых: 6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–  внесения сведений в ФИС ФРДО,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4 –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размещение информации в ФИС ГИА и Приема,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1 – выдача аттестата о среднем общем образовании с отличием сине-голубого цвета и медали «За особые успехи в учении»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val="en-US"/>
        </w:rPr>
        <w:t xml:space="preserve">II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степени;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14 – размещение информации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на официальных сайтах организаций дополнительного образования,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7 -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размещен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е информации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приеме на обучение по образовательным программам среднего профессионального образования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на официальных сайтах профессиональных образовательных организаций,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13 – размещение информации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на официальных сайтах дошкольных образовательных организаций,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8 – размещение информации об образовательных программах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на официальных сайтах</w:t>
      </w:r>
      <w:r/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 общеобразовательных учреждений.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4.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Консультирование контролируемых лиц и их представителей.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Должностные лица департамента образования осуществляют консультирование контролируемых лиц и их представителей: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в виде устных разъяснений на личном приеме;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в виде устных разъяснений в ходе проведения профилактического визита;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посредством размещения на официальном сай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 департамента образования письменного разъяснения по однотипным обращениям контролируемых лиц и их представителей, подписанного уполномоченным должностным лицом, в случае поступления 10 и более однотипных обращений контролируемых лиц и их представителей.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Консультирование контролируемых лиц и их представителей осуществляется по вопросам, связанным с организацией и осуществлением государственного контроля (надзора), в том числе с: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 порядком проведения контрольных (надзорных) мероприятий;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 периодичностью проведения контрольных (надзорных) мероприятий;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 порядком принятия решений по итогам контрольных (надзорных) мероприятий;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г) порядком обжалования решений контрольного (надзорного) органа в сфере образования.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График проведения консультирования (информация о месте проведения консультирования, днях и часах консультирования) размещен на официальном сайте департамента образования в сети «Интернет» </w:t>
      </w:r>
      <w:hyperlink r:id="rId16" w:tooltip="https://komobr-eao.ru/" w:history="1">
        <w:r>
          <w:rPr>
            <w:rStyle w:val="947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https://komobr-eao.ru/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разделе «Государственный контроль (надзор) в сфере обра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зования»/«Аналитические материалы, информации».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В  2024  году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проведено 6 консультаций, все консультации проведены в рамках профилактического визита.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Проведение профилактических визитов в форме профилактической беседы в отношении  контролируемых лиц.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Департамент образования проводит обязательный профилактический визит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Обязательные профилактические визиты предусмотрены в отношении: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контролируемых лиц, получивших лицензию на осуществление образовательной деятельности, - в срок не позднее чем в течение одного года со дня начала такой деятельности;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контролируемых лиц, деятельность которых отнесена к категории высокого риска, - в срок не позднее одного года со дня принятия решения об отнесении объекта государственного контроля (надзора) к категории высокого риска в соответствии с </w:t>
      </w:r>
      <w:hyperlink r:id="rId17" w:tooltip="consultantplus://offline/ref=2B42DE38A5FAE4D37C6C4DE391FAC41EAE3979A2A04B0D31CECDE24B5E0215EA45C016692D416092AC66DB3B91F5E4F32C014697D4335B99LCD1F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пунктом 7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 о ФГКН № 997.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контролируемых лиц, получивших право на осуществление образовательной деятельности по новому для них уровню образования, виду образования и подвидам дополнительного образования согласно записи в реестре лицензий на осуществление образовательной деятельно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сти, - в срок не позднее чем в течение одного года со дня получения права осуществления такой деятельности.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Департамент образования направляет контролируемому лицу уведомление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проведении обязательного профилактического визита не позднее чем за 5 рабочих дней до дня его проведения. Уведомление 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проведении обязательного профилактического визита направляется контролируемому лицу по почте и (или) электронной почте (при наличии).</w:t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пунктами 13, 21 – 25 Поло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жения о ФГКН № 997, в 2024 году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проведено 6 профилактических визитов, из которых: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 – в отношении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контролируемых лиц, получивших лицензию на осуществление образовательной деятельности;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 – по инициативе контролируемого лица.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Профилактический визит проведен в соответствии с установленным сроком, указанным в уведомлении о проведении проф. визита.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оде профилактическ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ого визита контролируемое лицо проинформировано об обязательных требованиях, предъявляемых к их деятельности, к принадлежащим им объектам контроля, их соответствии критериям риска, основаниях и о рекомендуемых способах снижения категории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риска, а также о видах, содержании и интенсивности контрольных (надзорных) мероприятий, проводимых в отношении объекта контроля, исходя из его отнесения к соответствующей категории риска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6)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Меры стимулирования добросовестности.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В целях мотивации контролируемых лиц к соблюдению обязательных требований ежегодно проводится мероприятия, направленные на нематериальное поощрение добросовестных контролируемых лиц (меры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стимулирования добросовестност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и).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К критериям добросовестности контролируемого лица относятся: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- выполнение контролируемым лицом аккредитационных показателей, установленных по результатам аккредитационного мониторинга, предусмотренного частью 3 статьи 97 Федерального закона «Об образовании в Российской Федерации»;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- своевременность представления контролируемым лицом сведений в информационные системы в системе образования, предусмотренные частями 2 и 9 статьи 98 Федерального закона «Об образовании в Российской Федерации»;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выполнение контролируемым лицом не менее 100 процентов показателей мониторинга системы образования, проводимого контрольным (надзорным) органом в сфере образования.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Информация об оценке добросовестности контролируемых лиц размещается на официальном сайте департамента образования </w:t>
      </w:r>
      <w:r>
        <w:rPr>
          <w:rFonts w:ascii="Times New Roman" w:hAnsi="Times New Roman" w:cs="Times New Roman"/>
          <w:color w:val="0070c0"/>
          <w:sz w:val="28"/>
          <w:szCs w:val="28"/>
        </w:rPr>
      </w:r>
      <w:hyperlink r:id="rId18" w:tooltip="https://komobr-eao.ru" w:history="1">
        <w:r>
          <w:rPr>
            <w:rStyle w:val="947"/>
            <w:rFonts w:ascii="Times New Roman" w:hAnsi="Times New Roman" w:cs="Times New Roman"/>
            <w:color w:val="0070c0"/>
            <w:sz w:val="28"/>
            <w:szCs w:val="28"/>
          </w:rPr>
          <w:t xml:space="preserve">https://komobr-eao.ru</w:t>
        </w:r>
      </w:hyperlink>
      <w:r>
        <w:rPr>
          <w:rFonts w:ascii="Times New Roman" w:hAnsi="Times New Roman" w:cs="Times New Roman"/>
          <w:color w:val="558ed4" w:themeColor="text2" w:themeTint="9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подразделе «Федеральный государственный контроль (надзор) в сфере образования»/ «Профилактика нарушений обязательных требований». </w:t>
      </w:r>
      <w:r>
        <w:rPr>
          <w:rFonts w:ascii="Times New Roman" w:hAnsi="Times New Roman" w:cs="Times New Roman"/>
          <w:color w:val="558ed4" w:themeColor="text2" w:themeTint="99"/>
          <w:sz w:val="28"/>
          <w:szCs w:val="28"/>
        </w:rPr>
        <w:t xml:space="preserve"> 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Мера стимулирования добросовестности контролируемого лица, признанного соответствующим критерию добросовестности, осуществляется в виде понижения категории риска объекта контроля на одну категорию.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Решение об изменении категории риска объекта контроля контролируемого лица, признанного соответствующим одновременно всем критериям добросовестности, принимается в течение 5 рабочих дней со дня размещения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на официальном сайте информации об оценке добросовестности контролируемых лиц.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2024 году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мера стимулирования добросовестност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и проведена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отношении 63 образовательных учреждений.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  <w:t xml:space="preserve"> Контролируемые лица, соответствующие одновременно всем вышеуказанных критериям добросовестнос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 w:themeColor="text1"/>
          <w:sz w:val="28"/>
          <w:szCs w:val="28"/>
          <w:highlight w:val="none"/>
          <w:u w:val="none"/>
        </w:rPr>
        <w:t xml:space="preserve">ти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 w:themeColor="text1"/>
          <w:sz w:val="28"/>
          <w:szCs w:val="28"/>
          <w:highlight w:val="none"/>
          <w:u w:val="none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 w:themeColor="text1"/>
          <w:sz w:val="28"/>
          <w:szCs w:val="28"/>
          <w:highlight w:val="none"/>
          <w:u w:val="none"/>
        </w:rPr>
        <w:t xml:space="preserve">отсутствуют.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</w:r>
    </w:p>
    <w:p>
      <w:pPr>
        <w:pStyle w:val="969"/>
        <w:ind w:firstLine="708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</w:r>
      <w:r>
        <w:rPr>
          <w:bCs/>
          <w:color w:val="000000" w:themeColor="text1"/>
          <w:sz w:val="28"/>
          <w:szCs w:val="28"/>
        </w:rPr>
        <w:t xml:space="preserve">С целью обсуждения актуальных вопросов по соблюдению требований законодательства об образовании </w:t>
      </w:r>
      <w:r>
        <w:rPr>
          <w:color w:val="000000" w:themeColor="text1"/>
          <w:sz w:val="28"/>
          <w:szCs w:val="28"/>
        </w:rPr>
        <w:t xml:space="preserve">с руководителями муниципальных органов управления образованием, руководителями профессиональных организаций, подведомственных департаменту образования проведены </w:t>
      </w:r>
      <w:r>
        <w:rPr>
          <w:bCs/>
          <w:color w:val="000000" w:themeColor="text1"/>
          <w:sz w:val="28"/>
          <w:szCs w:val="28"/>
        </w:rPr>
        <w:t xml:space="preserve">совещания по данным тематикам: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69"/>
        <w:ind w:firstLine="708"/>
        <w:jc w:val="both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</w:rPr>
        <w:t xml:space="preserve">«Использование ресурсов Программы профилактики нарушений законодательства об образовании для повышения эффективности управления качеством образования»;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pStyle w:val="940"/>
        <w:ind w:left="0" w:firstLine="708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размещении и обновлении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информации на официальных сайтах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организаций дополнительного образования в информационно-телекоммуникационной сети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firstLine="708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«О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и обновлени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информации на официальных сайтах профессиональных образовательных организаций в информационно-телеко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ммуникационной сети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в части приема в образовательные организации;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0"/>
        <w:ind w:firstLine="708"/>
        <w:jc w:val="both"/>
        <w:spacing w:after="0" w:afterAutospacing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размещении сведений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документах об образовании и (или) о квалификации, документах об обучении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информационной системе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«Федеральный реестр сведений о документах об образовании и (или) о квалификации, документах об обучении»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«О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размещении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официальных сайтах образовательных организаций в информационно-телекоммуникационной сети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реализуемых образовательных программах»</w:t>
      </w:r>
      <w:r>
        <w:rPr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69"/>
        <w:jc w:val="both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</w:r>
      <w:r>
        <w:rPr>
          <w:rFonts w:eastAsia="Times New Roman"/>
          <w:color w:val="auto"/>
          <w:sz w:val="28"/>
          <w:szCs w:val="28"/>
        </w:rPr>
      </w:r>
      <w:r>
        <w:rPr>
          <w:rFonts w:eastAsia="Times New Roman"/>
          <w:color w:val="auto"/>
          <w:sz w:val="28"/>
          <w:szCs w:val="28"/>
        </w:rPr>
      </w:r>
    </w:p>
    <w:p>
      <w:pPr>
        <w:pStyle w:val="969"/>
        <w:jc w:val="center"/>
        <w:rPr>
          <w:b/>
          <w:bCs/>
          <w:color w:val="auto"/>
          <w:sz w:val="28"/>
          <w:szCs w:val="28"/>
          <w:highlight w:val="none"/>
        </w:rPr>
      </w:pPr>
      <w:r>
        <w:rPr>
          <w:rFonts w:eastAsia="Times New Roman"/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  <w:t xml:space="preserve">5. Предложения об актуализации обязательных требований </w:t>
      </w:r>
      <w:r>
        <w:rPr>
          <w:b/>
          <w:bCs/>
          <w:color w:val="auto"/>
          <w:sz w:val="28"/>
          <w:szCs w:val="28"/>
          <w:highlight w:val="none"/>
        </w:rPr>
      </w:r>
      <w:r>
        <w:rPr>
          <w:b/>
          <w:bCs/>
          <w:color w:val="auto"/>
          <w:sz w:val="28"/>
          <w:szCs w:val="28"/>
          <w:highlight w:val="none"/>
        </w:rPr>
      </w:r>
    </w:p>
    <w:p>
      <w:pPr>
        <w:pStyle w:val="969"/>
        <w:jc w:val="center"/>
        <w:rPr>
          <w:b/>
          <w:bCs/>
          <w:color w:val="auto"/>
          <w:sz w:val="28"/>
          <w:szCs w:val="28"/>
        </w:rPr>
      </w:pPr>
      <w:r>
        <w:rPr>
          <w:color w:val="auto"/>
          <w:sz w:val="28"/>
          <w:szCs w:val="28"/>
          <w:highlight w:val="none"/>
        </w:rPr>
      </w: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</w:p>
    <w:p>
      <w:pPr>
        <w:pStyle w:val="969"/>
        <w:ind w:firstLine="708"/>
        <w:jc w:val="both"/>
        <w:rPr>
          <w:b/>
          <w:bCs/>
          <w:color w:val="auto"/>
          <w:sz w:val="28"/>
          <w:szCs w:val="28"/>
          <w:highlight w:val="none"/>
        </w:rPr>
      </w:pPr>
      <w:r>
        <w:rPr>
          <w:b/>
          <w:bCs/>
          <w:color w:val="auto"/>
          <w:sz w:val="28"/>
          <w:szCs w:val="28"/>
          <w:highlight w:val="none"/>
        </w:rPr>
      </w:r>
      <w:r>
        <w:rPr>
          <w:color w:val="auto"/>
          <w:sz w:val="28"/>
          <w:szCs w:val="28"/>
        </w:rPr>
        <w:t xml:space="preserve">По результатам пр</w:t>
      </w:r>
      <w:r>
        <w:rPr>
          <w:color w:val="auto"/>
          <w:sz w:val="28"/>
          <w:szCs w:val="28"/>
        </w:rPr>
        <w:t xml:space="preserve">оведенных департаментом образования области контрольных (надзорных) и профилактических мероприятий в рамках федерального государственного контроля (надзора) в сфере образования и по итогам анализа нормативных правовых актов, содержащих обязательные требова</w:t>
      </w:r>
      <w:r>
        <w:rPr>
          <w:color w:val="auto"/>
          <w:sz w:val="28"/>
          <w:szCs w:val="28"/>
        </w:rPr>
        <w:t xml:space="preserve">ния, предложения об актуализации обязательных требований законодательства Российской Федерации об образовании отсутствуют. </w:t>
      </w:r>
      <w:r>
        <w:rPr>
          <w:b/>
          <w:bCs/>
          <w:color w:val="auto"/>
          <w:sz w:val="28"/>
          <w:szCs w:val="28"/>
          <w:highlight w:val="none"/>
        </w:rPr>
      </w:r>
      <w:r>
        <w:rPr>
          <w:b/>
          <w:bCs/>
          <w:color w:val="auto"/>
          <w:sz w:val="28"/>
          <w:szCs w:val="28"/>
          <w:highlight w:val="none"/>
        </w:rPr>
      </w:r>
    </w:p>
    <w:p>
      <w:pPr>
        <w:pStyle w:val="969"/>
        <w:jc w:val="both"/>
        <w:rPr>
          <w:rFonts w:eastAsia="Times New Roman"/>
          <w:color w:val="ff0000"/>
          <w:sz w:val="28"/>
          <w:szCs w:val="28"/>
        </w:rPr>
      </w:pPr>
      <w:r>
        <w:rPr>
          <w:rFonts w:eastAsia="Times New Roman"/>
          <w:color w:val="ff0000"/>
          <w:sz w:val="28"/>
          <w:szCs w:val="28"/>
        </w:rPr>
      </w:r>
      <w:r>
        <w:rPr>
          <w:rFonts w:eastAsia="Times New Roman"/>
          <w:color w:val="ff0000"/>
          <w:sz w:val="28"/>
          <w:szCs w:val="28"/>
        </w:rPr>
      </w:r>
      <w:r>
        <w:rPr>
          <w:rFonts w:eastAsia="Times New Roman"/>
          <w:color w:val="ff0000"/>
          <w:sz w:val="28"/>
          <w:szCs w:val="28"/>
        </w:rPr>
      </w:r>
    </w:p>
    <w:p>
      <w:pPr>
        <w:pStyle w:val="969"/>
        <w:jc w:val="center"/>
        <w:rPr>
          <w:b/>
          <w:bCs/>
          <w:color w:val="auto"/>
          <w:sz w:val="28"/>
          <w:szCs w:val="28"/>
        </w:rPr>
      </w:pPr>
      <w:r>
        <w:rPr>
          <w:rFonts w:eastAsia="Times New Roman"/>
          <w:b/>
          <w:bCs/>
          <w:color w:val="auto"/>
          <w:sz w:val="28"/>
          <w:szCs w:val="28"/>
          <w:highlight w:val="none"/>
        </w:rPr>
      </w:r>
      <w:r>
        <w:rPr>
          <w:b/>
          <w:bCs/>
          <w:color w:val="auto"/>
          <w:sz w:val="28"/>
          <w:szCs w:val="28"/>
        </w:rPr>
        <w:t xml:space="preserve">6. Предложения о внесении изменений в законодательство                            Российской Федерации о государственном контроле (надзоре), </w:t>
      </w: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</w:p>
    <w:p>
      <w:pPr>
        <w:pStyle w:val="969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муниципальном контроле</w:t>
      </w: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</w:p>
    <w:p>
      <w:pPr>
        <w:pStyle w:val="969"/>
        <w:jc w:val="both"/>
        <w:rPr>
          <w:rFonts w:eastAsia="Times New Roman"/>
          <w:color w:val="auto"/>
          <w:sz w:val="28"/>
          <w:szCs w:val="28"/>
        </w:rPr>
      </w:pPr>
      <w:r>
        <w:rPr>
          <w:color w:val="auto"/>
          <w:sz w:val="28"/>
          <w:szCs w:val="28"/>
          <w:highlight w:val="none"/>
        </w:rPr>
      </w:r>
      <w:r>
        <w:rPr>
          <w:rFonts w:eastAsia="Times New Roman"/>
          <w:color w:val="auto"/>
          <w:sz w:val="28"/>
          <w:szCs w:val="28"/>
        </w:rPr>
      </w:r>
      <w:r>
        <w:rPr>
          <w:rFonts w:eastAsia="Times New Roman"/>
          <w:color w:val="auto"/>
          <w:sz w:val="28"/>
          <w:szCs w:val="28"/>
        </w:rPr>
      </w:r>
    </w:p>
    <w:p>
      <w:pPr>
        <w:contextualSpacing/>
        <w:ind w:firstLine="708"/>
        <w:jc w:val="both"/>
        <w:spacing w:line="240" w:lineRule="auto"/>
        <w:widowControl w:val="off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 целях совершенствования нормативного правового регулирования осуществления функций по федеральному государственному контролю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(надзору) в сфере образования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департамент образования предлагает: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 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нести изменение в Положение об оплате услуг экспертов и экспертных организаций, а также о возмещении понесенных ими расходов в связи с участием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 мероприятиях по контролю, проводимых при осуществлении государственного контроля (надзора) и муниципального контроля, утвержденное постановлением Правительства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Российской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Федерации от 15.12.2012 № 1311,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изменение в части увеличения ставки почасовой оплаты труда экспертов, составляющей в настоящее время 80 рублей, для привлечения к участию в контрольных (надзорных) мероприятиях, проводимых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при осуществлении федерального государственного контроля (надзора) в сфере образования,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высококвалифицированных специалистов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Предусмотреть законодательством Российской Федерации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обязанность контролируемых лиц представлять в контрольный (надзорный) орган информацию о принятых мерах по обеспечению соблюдения обязательных требований по результатам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объявленного предостережения о недопустимости нарушения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обязательных требований.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Вывод.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line="240" w:lineRule="auto"/>
        <w:rPr>
          <w:rFonts w:ascii="undefined" w:hAnsi="undefined" w:cs="undefined"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постановлением Правительства Российской Федерации от 25.06.2021 № 997 «Об утверждении Положения о федеральном государственном контроле (надзоре) в сфере образования» ключевой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показатель федерального государственного контроля (надзора) в сфере образования в 2024 году составляет – не более 0,11%.</w:t>
        <w:br/>
        <w:t xml:space="preserve">       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Ключевой показатель «Доля организаций, осуществляющих образовательную деятельность, и индивидуальных предпринимателей, осуществляющих образовательную деятельность, за исключением индивидуальных предпринимателей, осуществляющих образовательную деятельность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непосредственно, в отношении которых применялись меры, предусмотренные статьей 93.1 Федерального закона «Об образовании в Российской Федерации», такие как лишение государственной аккредитации, аннулирование действия лицензии»  в 2024 году составляет – 0%.</w:t>
      </w:r>
      <w:r>
        <w:rPr>
          <w:rFonts w:ascii="undefined" w:hAnsi="undefined" w:cs="undefined"/>
          <w:color w:val="000000" w:themeColor="text1"/>
          <w:sz w:val="28"/>
          <w:szCs w:val="28"/>
          <w:u w:val="none"/>
        </w:rPr>
      </w:r>
      <w:r>
        <w:rPr>
          <w:rFonts w:ascii="undefined" w:hAnsi="undefined" w:cs="undefined"/>
          <w:color w:val="000000" w:themeColor="text1"/>
          <w:sz w:val="28"/>
          <w:szCs w:val="28"/>
          <w:u w:val="none"/>
        </w:rPr>
      </w:r>
    </w:p>
    <w:p>
      <w:pPr>
        <w:contextualSpacing/>
        <w:ind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u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В 2024 году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деятельность департамента образования по осуществлению  федерального государственного контроля (надзора) в сфере образования  была направлена на: 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969"/>
        <w:ind w:firstLine="708"/>
        <w:jc w:val="both"/>
        <w:spacing w:after="0" w:afterAutospacing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профилактику предупреждения правонарушений обязательных требований в сфере образования в соответствии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с утвержденной программой профилактики рисков причинения вреда (ущерба) охраняемым законом ценностям при осуществлении федерального государственного контроля (надзора) в сфере образования на 2024 год; 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969"/>
        <w:ind w:firstLine="708"/>
        <w:jc w:val="both"/>
        <w:spacing w:after="0" w:afterAutospacing="0"/>
        <w:rPr>
          <w:rFonts w:eastAsia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снижение нагрузки на добросовестные образовате</w:t>
      </w:r>
      <w:r>
        <w:rPr>
          <w:rFonts w:eastAsia="Times New Roman"/>
          <w:color w:val="auto"/>
          <w:sz w:val="28"/>
          <w:szCs w:val="28"/>
        </w:rPr>
        <w:t xml:space="preserve">льные орг</w:t>
      </w:r>
      <w:r>
        <w:rPr>
          <w:rFonts w:eastAsia="Times New Roman"/>
          <w:color w:val="auto"/>
          <w:sz w:val="28"/>
          <w:szCs w:val="28"/>
        </w:rPr>
        <w:t xml:space="preserve">анизации в результате отнесение объектов к категориям риска; </w:t>
      </w:r>
      <w:r>
        <w:rPr>
          <w:rFonts w:eastAsia="Times New Roman"/>
          <w:color w:val="auto"/>
          <w:sz w:val="28"/>
          <w:szCs w:val="28"/>
        </w:rPr>
      </w:r>
      <w:r>
        <w:rPr>
          <w:rFonts w:eastAsia="Times New Roman"/>
          <w:color w:val="auto"/>
          <w:sz w:val="28"/>
          <w:szCs w:val="28"/>
        </w:rPr>
      </w:r>
    </w:p>
    <w:p>
      <w:pPr>
        <w:pStyle w:val="969"/>
        <w:ind w:firstLine="708"/>
        <w:jc w:val="both"/>
        <w:spacing w:after="0" w:afterAutospacing="0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 xml:space="preserve">формирование единого понимания обязательных требований у всех участников контрольной (надзорной) деятельности; </w:t>
      </w:r>
      <w:r>
        <w:rPr>
          <w:rFonts w:eastAsia="Times New Roman"/>
          <w:color w:val="auto"/>
          <w:sz w:val="28"/>
          <w:szCs w:val="28"/>
        </w:rPr>
      </w:r>
      <w:r>
        <w:rPr>
          <w:rFonts w:eastAsia="Times New Roman"/>
          <w:color w:val="auto"/>
          <w:sz w:val="28"/>
          <w:szCs w:val="28"/>
        </w:rPr>
      </w:r>
    </w:p>
    <w:p>
      <w:pPr>
        <w:pStyle w:val="969"/>
        <w:ind w:firstLine="708"/>
        <w:jc w:val="both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 xml:space="preserve">совершенствование информационно-методического сопровождения по федеральному государ</w:t>
      </w:r>
      <w:r>
        <w:rPr>
          <w:rFonts w:eastAsia="Times New Roman"/>
          <w:color w:val="auto"/>
          <w:sz w:val="28"/>
          <w:szCs w:val="28"/>
        </w:rPr>
        <w:t xml:space="preserve">ственному контролю (надзору) в сфере образования; </w:t>
      </w:r>
      <w:r>
        <w:rPr>
          <w:rFonts w:eastAsia="Times New Roman"/>
          <w:color w:val="auto"/>
          <w:sz w:val="28"/>
          <w:szCs w:val="28"/>
        </w:rPr>
      </w:r>
      <w:r>
        <w:rPr>
          <w:rFonts w:eastAsia="Times New Roman"/>
          <w:color w:val="auto"/>
          <w:sz w:val="28"/>
          <w:szCs w:val="28"/>
        </w:rPr>
      </w:r>
    </w:p>
    <w:p>
      <w:pPr>
        <w:pStyle w:val="969"/>
        <w:ind w:firstLine="708"/>
        <w:jc w:val="both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 xml:space="preserve">формирование и внесение сведений в государственные информационные системы АКНДПП, ЕРКНМ, ГИС ТОР КНД, ЕРВК;</w:t>
      </w:r>
      <w:r>
        <w:rPr>
          <w:rFonts w:eastAsia="Times New Roman"/>
          <w:color w:val="auto"/>
          <w:sz w:val="28"/>
          <w:szCs w:val="28"/>
        </w:rPr>
      </w:r>
      <w:r>
        <w:rPr>
          <w:rFonts w:eastAsia="Times New Roman"/>
          <w:color w:val="auto"/>
          <w:sz w:val="28"/>
          <w:szCs w:val="28"/>
        </w:rPr>
      </w:r>
    </w:p>
    <w:p>
      <w:pPr>
        <w:pStyle w:val="969"/>
        <w:ind w:firstLine="708"/>
        <w:jc w:val="both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 xml:space="preserve">обеспечение информирования общественности о результатах контрольной (надзорной) деятельности путем размещения инфо</w:t>
      </w:r>
      <w:r>
        <w:rPr>
          <w:rFonts w:eastAsia="Times New Roman"/>
          <w:color w:val="auto"/>
          <w:sz w:val="28"/>
          <w:szCs w:val="28"/>
        </w:rPr>
        <w:t xml:space="preserve">рмаций на официальном сайте  департамента образования; </w:t>
      </w:r>
      <w:r>
        <w:rPr>
          <w:rFonts w:eastAsia="Times New Roman"/>
          <w:color w:val="auto"/>
          <w:sz w:val="28"/>
          <w:szCs w:val="28"/>
        </w:rPr>
      </w:r>
      <w:r>
        <w:rPr>
          <w:rFonts w:eastAsia="Times New Roman"/>
          <w:color w:val="auto"/>
          <w:sz w:val="28"/>
          <w:szCs w:val="28"/>
        </w:rPr>
      </w:r>
    </w:p>
    <w:p>
      <w:pPr>
        <w:pStyle w:val="969"/>
        <w:ind w:firstLine="708"/>
        <w:jc w:val="both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 xml:space="preserve">обеспечение проведение совещаний и семинаров с руководителями органов местного самоуправления, осуществляющих управление в сфере образования, и  образовательных учреждений. </w:t>
      </w:r>
      <w:r>
        <w:rPr>
          <w:rFonts w:eastAsia="Times New Roman"/>
          <w:color w:val="auto"/>
          <w:sz w:val="28"/>
          <w:szCs w:val="28"/>
        </w:rPr>
      </w:r>
      <w:r>
        <w:rPr>
          <w:rFonts w:eastAsia="Times New Roman"/>
          <w:color w:val="auto"/>
          <w:sz w:val="28"/>
          <w:szCs w:val="28"/>
        </w:rPr>
      </w:r>
    </w:p>
    <w:p>
      <w:pPr>
        <w:pStyle w:val="969"/>
        <w:ind w:firstLine="708"/>
        <w:jc w:val="both"/>
        <w:rPr>
          <w:color w:val="auto"/>
          <w:highlight w:val="none"/>
        </w:rPr>
      </w:pPr>
      <w:r>
        <w:rPr>
          <w:rFonts w:eastAsia="Times New Roman"/>
          <w:color w:val="auto"/>
          <w:sz w:val="28"/>
          <w:szCs w:val="28"/>
        </w:rPr>
        <w:t xml:space="preserve">Выделенный размер финансовых </w:t>
      </w:r>
      <w:r>
        <w:rPr>
          <w:rFonts w:eastAsia="Times New Roman"/>
          <w:color w:val="auto"/>
          <w:sz w:val="28"/>
          <w:szCs w:val="28"/>
        </w:rPr>
        <w:t xml:space="preserve">средств в полной мере обеспечил деятельность департамента образования по федеральному государственному контролю (надзору) в сфере образования.</w:t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96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highlight w:val="none"/>
        </w:rPr>
      </w:r>
      <w:r>
        <w:rPr>
          <w:color w:val="auto"/>
          <w:sz w:val="28"/>
          <w:szCs w:val="28"/>
        </w:rPr>
        <w:t xml:space="preserve">В целях повышения результативности и эффективности деятельности  департамента образования области в 2024 году определены следующие приоритетные направления: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96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предотвращение рисков причинения вреда (ущерба) охраняемым законом ценностям, предупреждение нарушений обязательных т</w:t>
      </w:r>
      <w:r>
        <w:rPr>
          <w:color w:val="auto"/>
          <w:sz w:val="28"/>
          <w:szCs w:val="28"/>
        </w:rPr>
        <w:t xml:space="preserve">ребований, установленных законодательством Российской Федерации об образовании;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96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стимулирование добросовестного соблюдения контролируемыми лицами обязательных требований, установленных законодательством Российской Федерации в сфере образования;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96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повыше</w:t>
      </w:r>
      <w:r>
        <w:rPr>
          <w:color w:val="auto"/>
          <w:sz w:val="28"/>
          <w:szCs w:val="28"/>
        </w:rPr>
        <w:t xml:space="preserve">ние прозрачности и открытости осуществления федерального государственного контроля (надзора) в сфере образования;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969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снижение при осуществлении федерального государственного контроля (надзора) в сфере образования административной нагрузки </w:t>
      </w:r>
      <w:r>
        <w:rPr>
          <w:color w:val="auto"/>
          <w:sz w:val="28"/>
          <w:szCs w:val="28"/>
        </w:rPr>
        <w:t xml:space="preserve">на контролируемых лиц;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969"/>
        <w:ind w:firstLine="708"/>
        <w:jc w:val="both"/>
        <w:rPr>
          <w:color w:val="auto"/>
          <w:sz w:val="28"/>
          <w:szCs w:val="28"/>
          <w:highlight w:val="none"/>
        </w:rPr>
      </w:pPr>
      <w:r>
        <w:rPr>
          <w:color w:val="auto"/>
          <w:sz w:val="28"/>
          <w:szCs w:val="28"/>
        </w:rPr>
        <w:t xml:space="preserve">повышение информированности контролируемых лиц о способах соблюдения обязательных требований законодательства об образовании. </w:t>
      </w:r>
      <w:r>
        <w:rPr>
          <w:color w:val="auto"/>
          <w:sz w:val="28"/>
          <w:szCs w:val="28"/>
          <w:highlight w:val="none"/>
        </w:rPr>
      </w:r>
      <w:r>
        <w:rPr>
          <w:color w:val="auto"/>
          <w:sz w:val="28"/>
          <w:szCs w:val="28"/>
          <w:highlight w:val="none"/>
        </w:rPr>
      </w:r>
    </w:p>
    <w:p>
      <w:pPr>
        <w:pStyle w:val="969"/>
        <w:ind w:firstLine="708"/>
        <w:jc w:val="both"/>
        <w:rPr>
          <w:rFonts w:eastAsia="Times New Roman"/>
          <w:color w:val="ff0000"/>
          <w:sz w:val="28"/>
          <w:szCs w:val="28"/>
        </w:rPr>
      </w:pPr>
      <w:r>
        <w:rPr>
          <w:color w:val="ff0000"/>
          <w:sz w:val="28"/>
          <w:szCs w:val="28"/>
          <w:highlight w:val="none"/>
        </w:rPr>
      </w:r>
      <w:r>
        <w:rPr>
          <w:rFonts w:eastAsia="Times New Roman"/>
          <w:color w:val="ff0000"/>
          <w:sz w:val="28"/>
          <w:szCs w:val="28"/>
        </w:rPr>
      </w:r>
      <w:r>
        <w:rPr>
          <w:rFonts w:eastAsia="Times New Roman"/>
          <w:color w:val="ff0000"/>
          <w:sz w:val="28"/>
          <w:szCs w:val="28"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1" w:bottom="1134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undefined">
    <w:panose1 w:val="02000603000000000000"/>
  </w:font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NSimSun">
    <w:panose1 w:val="02010609030101010101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328253768"/>
      <w:docPartObj>
        <w:docPartGallery w:val="Page Numbers (Top of Page)"/>
        <w:docPartUnique w:val="true"/>
      </w:docPartObj>
      <w:rPr/>
    </w:sdtPr>
    <w:sdtContent>
      <w:p>
        <w:pPr>
          <w:pStyle w:val="952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 xml:space="preserve">27</w:t>
        </w:r>
        <w:r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</w:rPr>
        </w:r>
        <w:r>
          <w:rPr>
            <w:rFonts w:ascii="Times New Roman" w:hAnsi="Times New Roman" w:cs="Times New Roman"/>
          </w:rPr>
        </w:r>
      </w:p>
    </w:sdtContent>
  </w:sdt>
  <w:p>
    <w:pPr>
      <w:pStyle w:val="95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space"/>
      <w:lvlText w:val=""/>
      <w:lvlJc w:val="left"/>
      <w:pPr>
        <w:ind w:left="9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2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131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4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2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9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6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3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0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8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531" w:hanging="180"/>
      </w:p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3"/>
      <w:numFmt w:val="upperRoman"/>
      <w:isLgl w:val="false"/>
      <w:suff w:val="space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4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2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9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6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3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0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8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531" w:hanging="180"/>
      </w:pPr>
    </w:lvl>
  </w:abstractNum>
  <w:abstractNum w:abstractNumId="7">
    <w:multiLevelType w:val="hybridMultilevel"/>
    <w:lvl w:ilvl="0">
      <w:start w:val="1"/>
      <w:numFmt w:val="upperRoman"/>
      <w:isLgl w:val="false"/>
      <w:suff w:val="space"/>
      <w:lvlText w:val="%1."/>
      <w:lvlJc w:val="left"/>
      <w:pPr>
        <w:ind w:left="3131" w:hanging="720"/>
      </w:pPr>
      <w:rPr>
        <w:rFonts w:hint="default"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33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0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7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5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2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9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6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389" w:hanging="180"/>
      </w:pPr>
    </w:lvl>
  </w:abstractNum>
  <w:abstractNum w:abstractNumId="8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-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10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Calibri" w:hAnsi="Calibr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1618" w:hanging="105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916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3276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3276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6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99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5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716" w:hanging="2160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7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3131" w:hanging="720"/>
      </w:pPr>
      <w:rPr>
        <w:rFonts w:hint="default"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34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2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9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6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3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0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8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531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692" w:hanging="984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9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space"/>
      <w:lvlText w:val=""/>
      <w:lvlJc w:val="left"/>
      <w:pPr>
        <w:ind w:left="150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353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207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9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1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3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5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7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9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13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bullet"/>
      <w:isLgl w:val="false"/>
      <w:suff w:val="space"/>
      <w:lvlText w:val=""/>
      <w:lvlJc w:val="left"/>
      <w:pPr>
        <w:ind w:left="86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8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0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2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4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6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8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0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24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7">
    <w:multiLevelType w:val="hybridMultilevel"/>
    <w:lvl w:ilvl="0">
      <w:start w:val="1"/>
      <w:numFmt w:val="upperRoman"/>
      <w:isLgl w:val="false"/>
      <w:suff w:val="space"/>
      <w:lvlText w:val="%1."/>
      <w:lvlJc w:val="left"/>
      <w:pPr>
        <w:ind w:left="3131" w:hanging="720"/>
      </w:pPr>
      <w:rPr>
        <w:rFonts w:hint="default" w:eastAsia="Times New Roman"/>
      </w:rPr>
    </w:lvl>
    <w:lvl w:ilvl="1">
      <w:start w:val="1"/>
      <w:numFmt w:val="decimal"/>
      <w:isLgl w:val="false"/>
      <w:suff w:val="space"/>
      <w:lvlText w:val="%2."/>
      <w:lvlJc w:val="left"/>
      <w:pPr>
        <w:ind w:left="3349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40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7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5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2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9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6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389" w:hanging="180"/>
      </w:pPr>
    </w:lvl>
  </w:abstractNum>
  <w:abstractNum w:abstractNumId="28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-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131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4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2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9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6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3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0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8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531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7" w:hanging="360"/>
      </w:pPr>
      <w:rPr>
        <w:rFonts w:hint="default"/>
      </w:rPr>
    </w:lvl>
    <w:lvl w:ilvl="1">
      <w:start w:val="5"/>
      <w:numFmt w:val="decimal"/>
      <w:isLgl/>
      <w:suff w:val="tab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564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593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982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371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789" w:hanging="2160"/>
      </w:pPr>
      <w:rPr>
        <w:rFonts w:hint="default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771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-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28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49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86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2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94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669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02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749" w:hanging="2160"/>
      </w:pPr>
    </w:lvl>
  </w:abstractNum>
  <w:num w:numId="1">
    <w:abstractNumId w:val="27"/>
  </w:num>
  <w:num w:numId="2">
    <w:abstractNumId w:val="13"/>
  </w:num>
  <w:num w:numId="3">
    <w:abstractNumId w:val="2"/>
  </w:num>
  <w:num w:numId="4">
    <w:abstractNumId w:val="1"/>
  </w:num>
  <w:num w:numId="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29"/>
  </w:num>
  <w:num w:numId="8">
    <w:abstractNumId w:val="36"/>
  </w:num>
  <w:num w:numId="9">
    <w:abstractNumId w:val="24"/>
  </w:num>
  <w:num w:numId="10">
    <w:abstractNumId w:val="3"/>
  </w:num>
  <w:num w:numId="11">
    <w:abstractNumId w:val="21"/>
  </w:num>
  <w:num w:numId="12">
    <w:abstractNumId w:val="17"/>
  </w:num>
  <w:num w:numId="13">
    <w:abstractNumId w:val="33"/>
  </w:num>
  <w:num w:numId="14">
    <w:abstractNumId w:val="4"/>
  </w:num>
  <w:num w:numId="15">
    <w:abstractNumId w:val="7"/>
  </w:num>
  <w:num w:numId="16">
    <w:abstractNumId w:val="8"/>
  </w:num>
  <w:num w:numId="17">
    <w:abstractNumId w:val="11"/>
  </w:num>
  <w:num w:numId="18">
    <w:abstractNumId w:val="0"/>
  </w:num>
  <w:num w:numId="19">
    <w:abstractNumId w:val="5"/>
  </w:num>
  <w:num w:numId="20">
    <w:abstractNumId w:val="28"/>
  </w:num>
  <w:num w:numId="21">
    <w:abstractNumId w:val="23"/>
  </w:num>
  <w:num w:numId="22">
    <w:abstractNumId w:val="6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7"/>
  </w:num>
  <w:num w:numId="25">
    <w:abstractNumId w:val="14"/>
  </w:num>
  <w:num w:numId="26">
    <w:abstractNumId w:val="31"/>
  </w:num>
  <w:num w:numId="27">
    <w:abstractNumId w:val="30"/>
  </w:num>
  <w:num w:numId="28">
    <w:abstractNumId w:val="18"/>
  </w:num>
  <w:num w:numId="29">
    <w:abstractNumId w:val="35"/>
  </w:num>
  <w:num w:numId="30">
    <w:abstractNumId w:val="15"/>
  </w:num>
  <w:num w:numId="31">
    <w:abstractNumId w:val="25"/>
  </w:num>
  <w:num w:numId="32">
    <w:abstractNumId w:val="9"/>
  </w:num>
  <w:num w:numId="33">
    <w:abstractNumId w:val="38"/>
  </w:num>
  <w:num w:numId="34">
    <w:abstractNumId w:val="32"/>
  </w:num>
  <w:num w:numId="35">
    <w:abstractNumId w:val="16"/>
  </w:num>
  <w:num w:numId="36">
    <w:abstractNumId w:val="19"/>
  </w:num>
  <w:num w:numId="37">
    <w:abstractNumId w:val="10"/>
  </w:num>
  <w:num w:numId="38">
    <w:abstractNumId w:val="20"/>
  </w:num>
  <w:num w:numId="39">
    <w:abstractNumId w:val="22"/>
  </w:num>
  <w:num w:numId="40">
    <w:abstractNumId w:val="26"/>
  </w:num>
  <w:num w:numId="41">
    <w:abstractNumId w:val="39"/>
  </w:num>
  <w:num w:numId="42">
    <w:abstractNumId w:val="40"/>
  </w:num>
  <w:num w:numId="43">
    <w:abstractNumId w:val="41"/>
  </w:num>
  <w:num w:numId="44">
    <w:abstractNumId w:val="42"/>
  </w:num>
  <w:num w:numId="45">
    <w:abstractNumId w:val="43"/>
  </w:num>
  <w:num w:numId="46">
    <w:abstractNumId w:val="44"/>
  </w:num>
  <w:num w:numId="47">
    <w:abstractNumId w:val="45"/>
  </w:num>
  <w:num w:numId="48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5">
    <w:name w:val="Heading 1 Char"/>
    <w:basedOn w:val="942"/>
    <w:link w:val="941"/>
    <w:uiPriority w:val="9"/>
    <w:rPr>
      <w:rFonts w:ascii="Arial" w:hAnsi="Arial" w:eastAsia="Arial" w:cs="Arial"/>
      <w:sz w:val="40"/>
      <w:szCs w:val="40"/>
    </w:rPr>
  </w:style>
  <w:style w:type="paragraph" w:styleId="776">
    <w:name w:val="Heading 2"/>
    <w:basedOn w:val="940"/>
    <w:next w:val="940"/>
    <w:link w:val="77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77">
    <w:name w:val="Heading 2 Char"/>
    <w:basedOn w:val="942"/>
    <w:link w:val="776"/>
    <w:uiPriority w:val="9"/>
    <w:rPr>
      <w:rFonts w:ascii="Arial" w:hAnsi="Arial" w:eastAsia="Arial" w:cs="Arial"/>
      <w:sz w:val="34"/>
    </w:rPr>
  </w:style>
  <w:style w:type="paragraph" w:styleId="778">
    <w:name w:val="Heading 3"/>
    <w:basedOn w:val="940"/>
    <w:next w:val="940"/>
    <w:link w:val="77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79">
    <w:name w:val="Heading 3 Char"/>
    <w:basedOn w:val="942"/>
    <w:link w:val="778"/>
    <w:uiPriority w:val="9"/>
    <w:rPr>
      <w:rFonts w:ascii="Arial" w:hAnsi="Arial" w:eastAsia="Arial" w:cs="Arial"/>
      <w:sz w:val="30"/>
      <w:szCs w:val="30"/>
    </w:rPr>
  </w:style>
  <w:style w:type="paragraph" w:styleId="780">
    <w:name w:val="Heading 4"/>
    <w:basedOn w:val="940"/>
    <w:next w:val="940"/>
    <w:link w:val="78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1">
    <w:name w:val="Heading 4 Char"/>
    <w:basedOn w:val="942"/>
    <w:link w:val="780"/>
    <w:uiPriority w:val="9"/>
    <w:rPr>
      <w:rFonts w:ascii="Arial" w:hAnsi="Arial" w:eastAsia="Arial" w:cs="Arial"/>
      <w:b/>
      <w:bCs/>
      <w:sz w:val="26"/>
      <w:szCs w:val="26"/>
    </w:rPr>
  </w:style>
  <w:style w:type="paragraph" w:styleId="782">
    <w:name w:val="Heading 5"/>
    <w:basedOn w:val="940"/>
    <w:next w:val="940"/>
    <w:link w:val="78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3">
    <w:name w:val="Heading 5 Char"/>
    <w:basedOn w:val="942"/>
    <w:link w:val="782"/>
    <w:uiPriority w:val="9"/>
    <w:rPr>
      <w:rFonts w:ascii="Arial" w:hAnsi="Arial" w:eastAsia="Arial" w:cs="Arial"/>
      <w:b/>
      <w:bCs/>
      <w:sz w:val="24"/>
      <w:szCs w:val="24"/>
    </w:rPr>
  </w:style>
  <w:style w:type="paragraph" w:styleId="784">
    <w:name w:val="Heading 6"/>
    <w:basedOn w:val="940"/>
    <w:next w:val="940"/>
    <w:link w:val="78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5">
    <w:name w:val="Heading 6 Char"/>
    <w:basedOn w:val="942"/>
    <w:link w:val="784"/>
    <w:uiPriority w:val="9"/>
    <w:rPr>
      <w:rFonts w:ascii="Arial" w:hAnsi="Arial" w:eastAsia="Arial" w:cs="Arial"/>
      <w:b/>
      <w:bCs/>
      <w:sz w:val="22"/>
      <w:szCs w:val="22"/>
    </w:rPr>
  </w:style>
  <w:style w:type="paragraph" w:styleId="786">
    <w:name w:val="Heading 7"/>
    <w:basedOn w:val="940"/>
    <w:next w:val="940"/>
    <w:link w:val="78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87">
    <w:name w:val="Heading 7 Char"/>
    <w:basedOn w:val="942"/>
    <w:link w:val="7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88">
    <w:name w:val="Heading 8"/>
    <w:basedOn w:val="940"/>
    <w:next w:val="940"/>
    <w:link w:val="78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89">
    <w:name w:val="Heading 8 Char"/>
    <w:basedOn w:val="942"/>
    <w:link w:val="788"/>
    <w:uiPriority w:val="9"/>
    <w:rPr>
      <w:rFonts w:ascii="Arial" w:hAnsi="Arial" w:eastAsia="Arial" w:cs="Arial"/>
      <w:i/>
      <w:iCs/>
      <w:sz w:val="22"/>
      <w:szCs w:val="22"/>
    </w:rPr>
  </w:style>
  <w:style w:type="paragraph" w:styleId="790">
    <w:name w:val="Heading 9"/>
    <w:basedOn w:val="940"/>
    <w:next w:val="940"/>
    <w:link w:val="79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1">
    <w:name w:val="Heading 9 Char"/>
    <w:basedOn w:val="942"/>
    <w:link w:val="790"/>
    <w:uiPriority w:val="9"/>
    <w:rPr>
      <w:rFonts w:ascii="Arial" w:hAnsi="Arial" w:eastAsia="Arial" w:cs="Arial"/>
      <w:i/>
      <w:iCs/>
      <w:sz w:val="21"/>
      <w:szCs w:val="21"/>
    </w:rPr>
  </w:style>
  <w:style w:type="character" w:styleId="792">
    <w:name w:val="Title Char"/>
    <w:basedOn w:val="942"/>
    <w:link w:val="956"/>
    <w:uiPriority w:val="10"/>
    <w:rPr>
      <w:sz w:val="48"/>
      <w:szCs w:val="48"/>
    </w:rPr>
  </w:style>
  <w:style w:type="character" w:styleId="793">
    <w:name w:val="Subtitle Char"/>
    <w:basedOn w:val="942"/>
    <w:link w:val="958"/>
    <w:uiPriority w:val="11"/>
    <w:rPr>
      <w:sz w:val="24"/>
      <w:szCs w:val="24"/>
    </w:rPr>
  </w:style>
  <w:style w:type="paragraph" w:styleId="794">
    <w:name w:val="Quote"/>
    <w:basedOn w:val="940"/>
    <w:next w:val="940"/>
    <w:link w:val="795"/>
    <w:uiPriority w:val="29"/>
    <w:qFormat/>
    <w:pPr>
      <w:ind w:left="720" w:right="720"/>
    </w:pPr>
    <w:rPr>
      <w:i/>
    </w:rPr>
  </w:style>
  <w:style w:type="character" w:styleId="795">
    <w:name w:val="Quote Char"/>
    <w:link w:val="794"/>
    <w:uiPriority w:val="29"/>
    <w:rPr>
      <w:i/>
    </w:rPr>
  </w:style>
  <w:style w:type="paragraph" w:styleId="796">
    <w:name w:val="Intense Quote"/>
    <w:basedOn w:val="940"/>
    <w:next w:val="940"/>
    <w:link w:val="79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7">
    <w:name w:val="Intense Quote Char"/>
    <w:link w:val="796"/>
    <w:uiPriority w:val="30"/>
    <w:rPr>
      <w:i/>
    </w:rPr>
  </w:style>
  <w:style w:type="character" w:styleId="798">
    <w:name w:val="Header Char"/>
    <w:basedOn w:val="942"/>
    <w:link w:val="952"/>
    <w:uiPriority w:val="99"/>
  </w:style>
  <w:style w:type="character" w:styleId="799">
    <w:name w:val="Footer Char"/>
    <w:basedOn w:val="942"/>
    <w:link w:val="954"/>
    <w:uiPriority w:val="99"/>
  </w:style>
  <w:style w:type="paragraph" w:styleId="800">
    <w:name w:val="Caption"/>
    <w:basedOn w:val="940"/>
    <w:next w:val="94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1">
    <w:name w:val="Caption Char"/>
    <w:basedOn w:val="800"/>
    <w:link w:val="954"/>
    <w:uiPriority w:val="99"/>
  </w:style>
  <w:style w:type="table" w:styleId="802">
    <w:name w:val="Table Grid Light"/>
    <w:basedOn w:val="9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3">
    <w:name w:val="Plain Table 1"/>
    <w:basedOn w:val="9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4">
    <w:name w:val="Plain Table 2"/>
    <w:basedOn w:val="9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5">
    <w:name w:val="Plain Table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6">
    <w:name w:val="Plain Table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Plain Table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8">
    <w:name w:val="Grid Table 1 Light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Grid Table 1 Light 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Grid Table 1 Light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Grid Table 1 Light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Grid Table 1 Light 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Grid Table 1 Light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Grid Table 1 Light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Grid Table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2 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2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2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2 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2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2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3 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3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3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3 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3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3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4"/>
    <w:basedOn w:val="9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0">
    <w:name w:val="Grid Table 4 - Accent 1"/>
    <w:basedOn w:val="9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1">
    <w:name w:val="Grid Table 4 - Accent 2"/>
    <w:basedOn w:val="9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2">
    <w:name w:val="Grid Table 4 - Accent 3"/>
    <w:basedOn w:val="9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33">
    <w:name w:val="Grid Table 4 - Accent 4"/>
    <w:basedOn w:val="9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4">
    <w:name w:val="Grid Table 4 - Accent 5"/>
    <w:basedOn w:val="9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5">
    <w:name w:val="Grid Table 4 - Accent 6"/>
    <w:basedOn w:val="9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6">
    <w:name w:val="Grid Table 5 Dark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7">
    <w:name w:val="Grid Table 5 Dark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8">
    <w:name w:val="Grid Table 5 Dark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39">
    <w:name w:val="Grid Table 5 Dark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40">
    <w:name w:val="Grid Table 5 Dark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41">
    <w:name w:val="Grid Table 5 Dark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42">
    <w:name w:val="Grid Table 5 Dark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43">
    <w:name w:val="Grid Table 6 Colorful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44">
    <w:name w:val="Grid Table 6 Colorful 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45">
    <w:name w:val="Grid Table 6 Colorful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46">
    <w:name w:val="Grid Table 6 Colorful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47">
    <w:name w:val="Grid Table 6 Colorful 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48">
    <w:name w:val="Grid Table 6 Colorful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9">
    <w:name w:val="Grid Table 6 Colorful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0">
    <w:name w:val="Grid Table 7 Colorful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7 Colorful 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7 Colorful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7 Colorful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7 Colorful 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7 Colorful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7 Colorful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List Table 1 Light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List Table 1 Light 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List Table 1 Light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List Table 1 Light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List Table 1 Light 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List Table 1 Light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List Table 1 Light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65">
    <w:name w:val="List Table 2 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66">
    <w:name w:val="List Table 2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67">
    <w:name w:val="List Table 2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68">
    <w:name w:val="List Table 2 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69">
    <w:name w:val="List Table 2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0">
    <w:name w:val="List Table 2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1">
    <w:name w:val="List Table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3 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3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3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3 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3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3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4 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4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4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4 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4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4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5 Dark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6">
    <w:name w:val="List Table 5 Dark 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7">
    <w:name w:val="List Table 5 Dark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8">
    <w:name w:val="List Table 5 Dark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9">
    <w:name w:val="List Table 5 Dark 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0">
    <w:name w:val="List Table 5 Dark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1">
    <w:name w:val="List Table 5 Dark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2">
    <w:name w:val="List Table 6 Colorful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93">
    <w:name w:val="List Table 6 Colorful 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94">
    <w:name w:val="List Table 6 Colorful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95">
    <w:name w:val="List Table 6 Colorful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96">
    <w:name w:val="List Table 6 Colorful 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97">
    <w:name w:val="List Table 6 Colorful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98">
    <w:name w:val="List Table 6 Colorful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99">
    <w:name w:val="List Table 7 Colorful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0">
    <w:name w:val="List Table 7 Colorful 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01">
    <w:name w:val="List Table 7 Colorful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02">
    <w:name w:val="List Table 7 Colorful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03">
    <w:name w:val="List Table 7 Colorful 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04">
    <w:name w:val="List Table 7 Colorful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05">
    <w:name w:val="List Table 7 Colorful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06">
    <w:name w:val="Lined - Accent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7">
    <w:name w:val="Lined - Accent 1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8">
    <w:name w:val="Lined - Accent 2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9">
    <w:name w:val="Lined - Accent 3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10">
    <w:name w:val="Lined - Accent 4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11">
    <w:name w:val="Lined - Accent 5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12">
    <w:name w:val="Lined - Accent 6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13">
    <w:name w:val="Bordered &amp; Lined - Accent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4">
    <w:name w:val="Bordered &amp; Lined - Accent 1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15">
    <w:name w:val="Bordered &amp; Lined - Accent 2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16">
    <w:name w:val="Bordered &amp; Lined - Accent 3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17">
    <w:name w:val="Bordered &amp; Lined - Accent 4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18">
    <w:name w:val="Bordered &amp; Lined - Accent 5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19">
    <w:name w:val="Bordered &amp; Lined - Accent 6"/>
    <w:basedOn w:val="9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20">
    <w:name w:val="Bordered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1">
    <w:name w:val="Bordered - Accent 1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2">
    <w:name w:val="Bordered - Accent 2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23">
    <w:name w:val="Bordered - Accent 3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24">
    <w:name w:val="Bordered - Accent 4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25">
    <w:name w:val="Bordered - Accent 5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26">
    <w:name w:val="Bordered - Accent 6"/>
    <w:basedOn w:val="9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27">
    <w:name w:val="footnote text"/>
    <w:basedOn w:val="940"/>
    <w:link w:val="928"/>
    <w:uiPriority w:val="99"/>
    <w:semiHidden/>
    <w:unhideWhenUsed/>
    <w:pPr>
      <w:spacing w:after="40" w:line="240" w:lineRule="auto"/>
    </w:pPr>
    <w:rPr>
      <w:sz w:val="18"/>
    </w:rPr>
  </w:style>
  <w:style w:type="character" w:styleId="928">
    <w:name w:val="Footnote Text Char"/>
    <w:link w:val="927"/>
    <w:uiPriority w:val="99"/>
    <w:rPr>
      <w:sz w:val="18"/>
    </w:rPr>
  </w:style>
  <w:style w:type="character" w:styleId="929">
    <w:name w:val="footnote reference"/>
    <w:basedOn w:val="942"/>
    <w:uiPriority w:val="99"/>
    <w:unhideWhenUsed/>
    <w:rPr>
      <w:vertAlign w:val="superscript"/>
    </w:rPr>
  </w:style>
  <w:style w:type="paragraph" w:styleId="930">
    <w:name w:val="endnote text"/>
    <w:basedOn w:val="940"/>
    <w:link w:val="931"/>
    <w:uiPriority w:val="99"/>
    <w:semiHidden/>
    <w:unhideWhenUsed/>
    <w:pPr>
      <w:spacing w:after="0" w:line="240" w:lineRule="auto"/>
    </w:pPr>
    <w:rPr>
      <w:sz w:val="20"/>
    </w:rPr>
  </w:style>
  <w:style w:type="character" w:styleId="931">
    <w:name w:val="Endnote Text Char"/>
    <w:link w:val="930"/>
    <w:uiPriority w:val="99"/>
    <w:rPr>
      <w:sz w:val="20"/>
    </w:rPr>
  </w:style>
  <w:style w:type="character" w:styleId="932">
    <w:name w:val="endnote reference"/>
    <w:basedOn w:val="942"/>
    <w:uiPriority w:val="99"/>
    <w:semiHidden/>
    <w:unhideWhenUsed/>
    <w:rPr>
      <w:vertAlign w:val="superscript"/>
    </w:rPr>
  </w:style>
  <w:style w:type="paragraph" w:styleId="933">
    <w:name w:val="toc 4"/>
    <w:basedOn w:val="940"/>
    <w:next w:val="940"/>
    <w:uiPriority w:val="39"/>
    <w:unhideWhenUsed/>
    <w:pPr>
      <w:ind w:left="850" w:right="0" w:firstLine="0"/>
      <w:spacing w:after="57"/>
    </w:pPr>
  </w:style>
  <w:style w:type="paragraph" w:styleId="934">
    <w:name w:val="toc 5"/>
    <w:basedOn w:val="940"/>
    <w:next w:val="940"/>
    <w:uiPriority w:val="39"/>
    <w:unhideWhenUsed/>
    <w:pPr>
      <w:ind w:left="1134" w:right="0" w:firstLine="0"/>
      <w:spacing w:after="57"/>
    </w:pPr>
  </w:style>
  <w:style w:type="paragraph" w:styleId="935">
    <w:name w:val="toc 6"/>
    <w:basedOn w:val="940"/>
    <w:next w:val="940"/>
    <w:uiPriority w:val="39"/>
    <w:unhideWhenUsed/>
    <w:pPr>
      <w:ind w:left="1417" w:right="0" w:firstLine="0"/>
      <w:spacing w:after="57"/>
    </w:pPr>
  </w:style>
  <w:style w:type="paragraph" w:styleId="936">
    <w:name w:val="toc 7"/>
    <w:basedOn w:val="940"/>
    <w:next w:val="940"/>
    <w:uiPriority w:val="39"/>
    <w:unhideWhenUsed/>
    <w:pPr>
      <w:ind w:left="1701" w:right="0" w:firstLine="0"/>
      <w:spacing w:after="57"/>
    </w:pPr>
  </w:style>
  <w:style w:type="paragraph" w:styleId="937">
    <w:name w:val="toc 8"/>
    <w:basedOn w:val="940"/>
    <w:next w:val="940"/>
    <w:uiPriority w:val="39"/>
    <w:unhideWhenUsed/>
    <w:pPr>
      <w:ind w:left="1984" w:right="0" w:firstLine="0"/>
      <w:spacing w:after="57"/>
    </w:pPr>
  </w:style>
  <w:style w:type="paragraph" w:styleId="938">
    <w:name w:val="toc 9"/>
    <w:basedOn w:val="940"/>
    <w:next w:val="940"/>
    <w:uiPriority w:val="39"/>
    <w:unhideWhenUsed/>
    <w:pPr>
      <w:ind w:left="2268" w:right="0" w:firstLine="0"/>
      <w:spacing w:after="57"/>
    </w:pPr>
  </w:style>
  <w:style w:type="paragraph" w:styleId="939">
    <w:name w:val="table of figures"/>
    <w:basedOn w:val="940"/>
    <w:next w:val="940"/>
    <w:uiPriority w:val="99"/>
    <w:unhideWhenUsed/>
    <w:pPr>
      <w:spacing w:after="0" w:afterAutospacing="0"/>
    </w:pPr>
  </w:style>
  <w:style w:type="paragraph" w:styleId="940" w:default="1">
    <w:name w:val="Normal"/>
    <w:qFormat/>
  </w:style>
  <w:style w:type="paragraph" w:styleId="941">
    <w:name w:val="Heading 1"/>
    <w:basedOn w:val="940"/>
    <w:next w:val="940"/>
    <w:link w:val="964"/>
    <w:uiPriority w:val="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942" w:default="1">
    <w:name w:val="Default Paragraph Font"/>
    <w:uiPriority w:val="1"/>
    <w:semiHidden/>
    <w:unhideWhenUsed/>
  </w:style>
  <w:style w:type="table" w:styleId="943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44" w:default="1">
    <w:name w:val="No List"/>
    <w:uiPriority w:val="99"/>
    <w:semiHidden/>
    <w:unhideWhenUsed/>
  </w:style>
  <w:style w:type="paragraph" w:styleId="945">
    <w:name w:val="List Paragraph"/>
    <w:basedOn w:val="940"/>
    <w:link w:val="976"/>
    <w:uiPriority w:val="34"/>
    <w:qFormat/>
    <w:pPr>
      <w:contextualSpacing/>
      <w:ind w:left="720"/>
    </w:pPr>
  </w:style>
  <w:style w:type="table" w:styleId="946">
    <w:name w:val="Table Grid"/>
    <w:basedOn w:val="9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47">
    <w:name w:val="Hyperlink"/>
    <w:basedOn w:val="942"/>
    <w:uiPriority w:val="99"/>
    <w:unhideWhenUsed/>
    <w:rPr>
      <w:color w:val="008acf"/>
      <w:u w:val="none"/>
      <w:shd w:val="clear" w:color="auto" w:fill="auto"/>
    </w:rPr>
  </w:style>
  <w:style w:type="paragraph" w:styleId="948">
    <w:name w:val="Normal (Web)"/>
    <w:basedOn w:val="940"/>
    <w:link w:val="972"/>
    <w:uiPriority w:val="99"/>
    <w:unhideWhenUsed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49">
    <w:name w:val="Balloon Text"/>
    <w:basedOn w:val="940"/>
    <w:link w:val="95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50" w:customStyle="1">
    <w:name w:val="Текст выноски Знак"/>
    <w:basedOn w:val="942"/>
    <w:link w:val="949"/>
    <w:uiPriority w:val="99"/>
    <w:semiHidden/>
    <w:rPr>
      <w:rFonts w:ascii="Tahoma" w:hAnsi="Tahoma" w:cs="Tahoma"/>
      <w:sz w:val="16"/>
      <w:szCs w:val="16"/>
    </w:rPr>
  </w:style>
  <w:style w:type="character" w:styleId="951" w:customStyle="1">
    <w:name w:val="Font Style24"/>
    <w:rPr>
      <w:rFonts w:ascii="Times New Roman" w:hAnsi="Times New Roman" w:cs="Times New Roman"/>
      <w:sz w:val="26"/>
      <w:szCs w:val="26"/>
    </w:rPr>
  </w:style>
  <w:style w:type="paragraph" w:styleId="952">
    <w:name w:val="Header"/>
    <w:basedOn w:val="940"/>
    <w:link w:val="95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53" w:customStyle="1">
    <w:name w:val="Верхний колонтитул Знак"/>
    <w:basedOn w:val="942"/>
    <w:link w:val="952"/>
    <w:uiPriority w:val="99"/>
  </w:style>
  <w:style w:type="paragraph" w:styleId="954">
    <w:name w:val="Footer"/>
    <w:basedOn w:val="940"/>
    <w:link w:val="95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55" w:customStyle="1">
    <w:name w:val="Нижний колонтитул Знак"/>
    <w:basedOn w:val="942"/>
    <w:link w:val="954"/>
    <w:uiPriority w:val="99"/>
  </w:style>
  <w:style w:type="paragraph" w:styleId="956">
    <w:name w:val="Title"/>
    <w:basedOn w:val="940"/>
    <w:next w:val="940"/>
    <w:link w:val="957"/>
    <w:qFormat/>
    <w:pPr>
      <w:contextualSpacing/>
      <w:spacing w:after="300" w:line="240" w:lineRule="auto"/>
      <w:pBdr>
        <w:bottom w:val="single" w:color="4F81BD" w:themeColor="accent1" w:sz="8" w:space="4"/>
      </w:pBdr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  <w:lang w:eastAsia="ru-RU"/>
    </w:rPr>
  </w:style>
  <w:style w:type="character" w:styleId="957" w:customStyle="1">
    <w:name w:val="Название Знак1"/>
    <w:basedOn w:val="942"/>
    <w:link w:val="956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  <w:lang w:eastAsia="ru-RU"/>
    </w:rPr>
  </w:style>
  <w:style w:type="paragraph" w:styleId="958">
    <w:name w:val="Subtitle"/>
    <w:basedOn w:val="940"/>
    <w:next w:val="940"/>
    <w:link w:val="959"/>
    <w:uiPriority w:val="11"/>
    <w:qFormat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959" w:customStyle="1">
    <w:name w:val="Подзаголовок Знак"/>
    <w:basedOn w:val="942"/>
    <w:link w:val="958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960">
    <w:name w:val="No Spacing"/>
    <w:link w:val="961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character" w:styleId="961" w:customStyle="1">
    <w:name w:val="Без интервала Знак"/>
    <w:basedOn w:val="942"/>
    <w:link w:val="960"/>
    <w:uiPriority w:val="1"/>
    <w:rPr>
      <w:rFonts w:eastAsiaTheme="minorEastAsia"/>
      <w:lang w:eastAsia="ru-RU"/>
    </w:rPr>
  </w:style>
  <w:style w:type="paragraph" w:styleId="962">
    <w:name w:val="toc 3"/>
    <w:basedOn w:val="940"/>
    <w:next w:val="940"/>
    <w:uiPriority w:val="39"/>
    <w:unhideWhenUsed/>
    <w:pPr>
      <w:ind w:left="440"/>
      <w:spacing w:after="100"/>
    </w:pPr>
  </w:style>
  <w:style w:type="paragraph" w:styleId="963">
    <w:name w:val="toc 2"/>
    <w:basedOn w:val="940"/>
    <w:next w:val="940"/>
    <w:uiPriority w:val="39"/>
    <w:unhideWhenUsed/>
    <w:pPr>
      <w:ind w:left="220"/>
      <w:spacing w:after="100"/>
    </w:pPr>
  </w:style>
  <w:style w:type="character" w:styleId="964" w:customStyle="1">
    <w:name w:val="Заголовок 1 Знак"/>
    <w:basedOn w:val="942"/>
    <w:link w:val="941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965">
    <w:name w:val="TOC Heading"/>
    <w:basedOn w:val="941"/>
    <w:next w:val="940"/>
    <w:uiPriority w:val="39"/>
    <w:semiHidden/>
    <w:unhideWhenUsed/>
    <w:qFormat/>
    <w:pPr>
      <w:outlineLvl w:val="9"/>
    </w:pPr>
    <w:rPr>
      <w:lang w:eastAsia="ru-RU"/>
    </w:rPr>
  </w:style>
  <w:style w:type="character" w:styleId="966" w:customStyle="1">
    <w:name w:val="Font Style22"/>
    <w:basedOn w:val="942"/>
    <w:uiPriority w:val="99"/>
    <w:rPr>
      <w:rFonts w:ascii="Times New Roman" w:hAnsi="Times New Roman" w:cs="Times New Roman"/>
      <w:sz w:val="24"/>
      <w:szCs w:val="24"/>
    </w:rPr>
  </w:style>
  <w:style w:type="paragraph" w:styleId="967" w:customStyle="1">
    <w:name w:val="ConsPlusNormal"/>
    <w:link w:val="983"/>
    <w:qFormat/>
    <w:pPr>
      <w:spacing w:after="0" w:line="240" w:lineRule="auto"/>
    </w:pPr>
    <w:rPr>
      <w:rFonts w:ascii="Times New Roman" w:hAnsi="Times New Roman" w:cs="Times New Roman"/>
    </w:rPr>
  </w:style>
  <w:style w:type="paragraph" w:styleId="968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969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970">
    <w:name w:val="Strong"/>
    <w:basedOn w:val="942"/>
    <w:uiPriority w:val="22"/>
    <w:qFormat/>
    <w:rPr>
      <w:b/>
      <w:bCs/>
    </w:rPr>
  </w:style>
  <w:style w:type="paragraph" w:styleId="971" w:customStyle="1">
    <w:name w:val="ConsTitle"/>
    <w:pPr>
      <w:ind w:right="19772"/>
      <w:spacing w:after="0" w:line="240" w:lineRule="auto"/>
      <w:widowControl w:val="off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character" w:styleId="972" w:customStyle="1">
    <w:name w:val="Обычный (веб) Знак"/>
    <w:link w:val="948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73" w:customStyle="1">
    <w:name w:val="blk"/>
    <w:basedOn w:val="942"/>
  </w:style>
  <w:style w:type="character" w:styleId="974" w:customStyle="1">
    <w:name w:val="snippetresultinfo-leftblock"/>
    <w:basedOn w:val="942"/>
  </w:style>
  <w:style w:type="paragraph" w:styleId="975">
    <w:name w:val="toc 1"/>
    <w:basedOn w:val="940"/>
    <w:next w:val="940"/>
    <w:uiPriority w:val="39"/>
    <w:unhideWhenUsed/>
    <w:pPr>
      <w:ind w:right="567"/>
      <w:jc w:val="both"/>
      <w:spacing w:after="100" w:line="240" w:lineRule="auto"/>
      <w:tabs>
        <w:tab w:val="right" w:pos="9356" w:leader="dot"/>
      </w:tabs>
    </w:pPr>
    <w:rPr>
      <w:rFonts w:ascii="Times New Roman" w:hAnsi="Times New Roman" w:cs="Times New Roman"/>
      <w:sz w:val="28"/>
      <w:szCs w:val="28"/>
    </w:rPr>
  </w:style>
  <w:style w:type="character" w:styleId="976" w:customStyle="1">
    <w:name w:val="Абзац списка Знак"/>
    <w:link w:val="945"/>
    <w:uiPriority w:val="34"/>
  </w:style>
  <w:style w:type="paragraph" w:styleId="977">
    <w:name w:val="Body Text Indent"/>
    <w:basedOn w:val="940"/>
    <w:link w:val="978"/>
    <w:semiHidden/>
    <w:pPr>
      <w:ind w:firstLine="720"/>
      <w:spacing w:after="0" w:line="240" w:lineRule="auto"/>
    </w:pPr>
    <w:rPr>
      <w:rFonts w:ascii="Courier New" w:hAnsi="Courier New" w:eastAsia="Times New Roman" w:cs="Times New Roman"/>
      <w:sz w:val="28"/>
      <w:szCs w:val="20"/>
      <w:lang w:eastAsia="ru-RU"/>
    </w:rPr>
  </w:style>
  <w:style w:type="character" w:styleId="978" w:customStyle="1">
    <w:name w:val="Основной текст с отступом Знак"/>
    <w:basedOn w:val="942"/>
    <w:link w:val="977"/>
    <w:semiHidden/>
    <w:rPr>
      <w:rFonts w:ascii="Courier New" w:hAnsi="Courier New" w:eastAsia="Times New Roman" w:cs="Times New Roman"/>
      <w:sz w:val="28"/>
      <w:szCs w:val="20"/>
      <w:lang w:eastAsia="ru-RU"/>
    </w:rPr>
  </w:style>
  <w:style w:type="paragraph" w:styleId="979">
    <w:name w:val="Body Text"/>
    <w:basedOn w:val="940"/>
    <w:link w:val="980"/>
    <w:pPr>
      <w:spacing w:after="12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80" w:customStyle="1">
    <w:name w:val="Основной текст Знак"/>
    <w:basedOn w:val="942"/>
    <w:link w:val="97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81" w:customStyle="1">
    <w:name w:val="StGen0"/>
    <w:basedOn w:val="940"/>
    <w:next w:val="956"/>
    <w:link w:val="982"/>
    <w:qFormat/>
    <w:pPr>
      <w:jc w:val="center"/>
      <w:spacing w:after="0" w:line="240" w:lineRule="auto"/>
    </w:pPr>
    <w:rPr>
      <w:rFonts w:ascii="Times New Roman" w:hAnsi="Times New Roman"/>
      <w:sz w:val="28"/>
    </w:rPr>
  </w:style>
  <w:style w:type="character" w:styleId="982" w:customStyle="1">
    <w:name w:val="Название Знак"/>
    <w:basedOn w:val="942"/>
    <w:link w:val="981"/>
    <w:rPr>
      <w:rFonts w:ascii="Times New Roman" w:hAnsi="Times New Roman"/>
      <w:sz w:val="28"/>
    </w:rPr>
  </w:style>
  <w:style w:type="character" w:styleId="983" w:customStyle="1">
    <w:name w:val="ConsPlusNormal Знак"/>
    <w:link w:val="967"/>
    <w:rPr>
      <w:rFonts w:ascii="Times New Roman" w:hAnsi="Times New Roman" w:cs="Times New Roman"/>
    </w:rPr>
  </w:style>
  <w:style w:type="paragraph" w:styleId="984" w:customStyle="1">
    <w:name w:val="Обычный (веб)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komobr-eao.ru" TargetMode="External"/><Relationship Id="rId12" Type="http://schemas.openxmlformats.org/officeDocument/2006/relationships/hyperlink" Target="consultantplus://offline/ref=16BB65DB7D4E09C993E4B31989D812A25E2F4B5A519B96E56858EC5F2618D16ABE6FA172D72FF225CEAB04F905684FF1EEE7F02C4B52DE952En4F" TargetMode="External"/><Relationship Id="rId13" Type="http://schemas.openxmlformats.org/officeDocument/2006/relationships/hyperlink" Target="https://komobr-eao.ru/" TargetMode="External"/><Relationship Id="rId14" Type="http://schemas.openxmlformats.org/officeDocument/2006/relationships/hyperlink" Target="https://komobr-eao.ru/" TargetMode="External"/><Relationship Id="rId15" Type="http://schemas.openxmlformats.org/officeDocument/2006/relationships/hyperlink" Target="https://komobr-eao.ru" TargetMode="External"/><Relationship Id="rId16" Type="http://schemas.openxmlformats.org/officeDocument/2006/relationships/hyperlink" Target="https://komobr-eao.ru/" TargetMode="External"/><Relationship Id="rId17" Type="http://schemas.openxmlformats.org/officeDocument/2006/relationships/hyperlink" Target="consultantplus://offline/ref=2B42DE38A5FAE4D37C6C4DE391FAC41EAE3979A2A04B0D31CECDE24B5E0215EA45C016692D416092AC66DB3B91F5E4F32C014697D4335B99LCD1F" TargetMode="External"/><Relationship Id="rId18" Type="http://schemas.openxmlformats.org/officeDocument/2006/relationships/hyperlink" Target="https://komobr-ea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75884-AB90-46B8-90BF-5DCD68D36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</dc:title>
  <dc:creator>Цапцына Наталия Викторовна</dc:creator>
  <cp:revision>102</cp:revision>
  <dcterms:created xsi:type="dcterms:W3CDTF">2020-12-08T00:36:00Z</dcterms:created>
  <dcterms:modified xsi:type="dcterms:W3CDTF">2025-02-28T05:17:55Z</dcterms:modified>
</cp:coreProperties>
</file>