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700" cy="742950"/>
                <wp:effectExtent l="19050" t="0" r="0" b="0"/>
                <wp:docPr id="1" name="_x0000_i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i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477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1.00pt;height:58.50pt;mso-wrap-distance-left:0.00pt;mso-wrap-distance-top:0.00pt;mso-wrap-distance-right:0.00pt;mso-wrap-distance-bottom:0.00pt;" stroked="f" strokeweight="0.75pt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9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</w:p>
    <w:p>
      <w:pPr>
        <w:pStyle w:val="748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8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___________                                                                                                 № ____</w:t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некоторых вопросах организации и проведения аттестации педагогических работников областных, муниципальных и частных организаций, осуществляющих образовательную деятельность на территории Еврейской автономной области</w:t>
      </w:r>
      <w:r>
        <w:rPr>
          <w:rFonts w:ascii="Times New Roman" w:hAnsi="Times New Roman"/>
          <w:sz w:val="28"/>
          <w:szCs w:val="28"/>
        </w:rPr>
      </w:r>
    </w:p>
    <w:p>
      <w:pPr>
        <w:pStyle w:val="941"/>
        <w:jc w:val="both"/>
      </w:pPr>
      <w:r/>
      <w:r/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В соответствии с </w:t>
      </w:r>
      <w:hyperlink r:id="rId17" w:tooltip="Приказ Минобрнауки России от 07.04.2014 N 276 (ред. от 23.12.2020) &quot;Об утверждении Порядка проведения аттестации педагогических работников организаций, осуществляющих образовательную деятельность&quot; (Зарегистрировано в Минюсте России 23.05.2014 N 32408) --------" w:history="1">
        <w:r>
          <w:rPr>
            <w:color w:val="000000" w:themeColor="text1"/>
          </w:rPr>
          <w:t xml:space="preserve">Порядком</w:t>
        </w:r>
      </w:hyperlink>
      <w:r>
        <w:rPr>
          <w:color w:val="000000" w:themeColor="text1"/>
        </w:rPr>
        <w:t xml:space="preserve"> проведения аттестации педагогических работников организаций, осуществляющих образовательную деятельность, утвержденным Приказом Министерства просвещения Российской Ф</w:t>
      </w:r>
      <w:r>
        <w:rPr>
          <w:color w:val="000000" w:themeColor="text1"/>
        </w:rPr>
        <w:t xml:space="preserve">едерации от 24.03.2023 № 196 «Об утверждении Порядка проведения аттестации педагогических работников организаций, осуществляющих образовательную деятельность»,</w:t>
      </w:r>
      <w:r>
        <w:rPr>
          <w:color w:val="000000" w:themeColor="text1"/>
        </w:rPr>
      </w:r>
    </w:p>
    <w:p>
      <w:pPr>
        <w:pStyle w:val="941"/>
        <w:rPr>
          <w:color w:val="000000" w:themeColor="text1"/>
        </w:rPr>
      </w:pPr>
      <w:r>
        <w:rPr>
          <w:color w:val="000000" w:themeColor="text1"/>
        </w:rPr>
        <w:t xml:space="preserve">ПРИКАЗЫВАЮ: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1. Сформировать аттестационную комиссию по проведению аттестации педагогических рабо</w:t>
      </w:r>
      <w:r>
        <w:rPr>
          <w:color w:val="000000" w:themeColor="text1"/>
        </w:rPr>
        <w:t xml:space="preserve">тников областных, муниципальных и частных организаций, осуществляющих образовательную деятельность на территории Еврейской автономной области, в целях установления квалификационных категорий.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2. Утвердить прилагаемые: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 </w:t>
      </w:r>
      <w:hyperlink w:tooltip="РЕГЛАМЕНТ" w:anchor="P62" w:history="1">
        <w:r>
          <w:rPr>
            <w:color w:val="000000" w:themeColor="text1"/>
          </w:rPr>
          <w:t xml:space="preserve">регламент</w:t>
        </w:r>
      </w:hyperlink>
      <w:r>
        <w:rPr>
          <w:color w:val="000000" w:themeColor="text1"/>
        </w:rPr>
        <w:t xml:space="preserve"> работы аттестационной комиссии по проведению аттестации педагогических работников областных, муниципальных и частных организаций, осуществляющих образовательную деятельность на территории Еврейской автономной области;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 </w:t>
      </w:r>
      <w:hyperlink w:tooltip="УСЛОВИЯ" w:anchor="P130" w:history="1">
        <w:r>
          <w:rPr>
            <w:color w:val="000000" w:themeColor="text1"/>
          </w:rPr>
          <w:t xml:space="preserve">условия</w:t>
        </w:r>
      </w:hyperlink>
      <w:r>
        <w:rPr>
          <w:color w:val="000000" w:themeColor="text1"/>
        </w:rPr>
        <w:t xml:space="preserve"> привлечения специалистов для осуществления всестороннего анализа профессиональной деятельности педагогических работников.</w:t>
      </w:r>
      <w:r>
        <w:rPr>
          <w:color w:val="000000" w:themeColor="text1"/>
        </w:rPr>
      </w:r>
    </w:p>
    <w:p>
      <w:pPr>
        <w:pStyle w:val="941"/>
        <w:ind w:firstLine="540"/>
        <w:jc w:val="both"/>
      </w:pPr>
      <w:r>
        <w:rPr>
          <w:color w:val="000000" w:themeColor="text1"/>
        </w:rPr>
        <w:t xml:space="preserve">3. Организационно-тех</w:t>
      </w:r>
      <w:r>
        <w:t xml:space="preserve">нологическое обеспечение работы аттестационной комиссии по проведению аттестации педагогических </w:t>
      </w:r>
      <w:r>
        <w:t xml:space="preserve">работников областных, муниципальных и частных организаций, осуществляющих образовательную деятельность на территории Еврейской автономной области, осуществляется областным государственным автономным учреждением «Центр оценки качества образования».</w:t>
      </w:r>
      <w:r/>
    </w:p>
    <w:p>
      <w:pPr>
        <w:pStyle w:val="941"/>
        <w:ind w:firstLine="540"/>
        <w:jc w:val="both"/>
      </w:pPr>
      <w:r>
        <w:t xml:space="preserve">4. </w:t>
      </w:r>
      <w:r>
        <w:rPr>
          <w:color w:val="000000"/>
        </w:rPr>
        <w:t xml:space="preserve">Признать утратившими силу:</w:t>
      </w:r>
      <w:r/>
    </w:p>
    <w:p>
      <w:pPr>
        <w:pStyle w:val="941"/>
        <w:ind w:firstLine="540"/>
        <w:jc w:val="both"/>
      </w:pPr>
      <w:r>
        <w:t xml:space="preserve">- приказ комитета образования Еврейской автономной области 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br/>
        <w:t xml:space="preserve">от 10.03.2015 № 115 «</w:t>
      </w:r>
      <w:r>
        <w:rPr>
          <w:highlight w:val="white"/>
        </w:rPr>
        <w:t xml:space="preserve">О некоторых вопросах организации и проведения аттестации педагогических работников областных, муниципальных и частных организаций, осуществляющих о</w:t>
      </w:r>
      <w:r>
        <w:rPr>
          <w:highlight w:val="white"/>
        </w:rPr>
        <w:t xml:space="preserve">бразовательную деятельность на территории Еврейской автономной области</w:t>
      </w:r>
      <w:r>
        <w:rPr>
          <w:color w:val="000000"/>
          <w:highlight w:val="white"/>
        </w:rPr>
        <w:t xml:space="preserve">» (зарегистрировано в юридическом управлении аппарата губернатора и правительства ЕАО </w:t>
      </w:r>
      <w:r>
        <w:rPr>
          <w:highlight w:val="white"/>
        </w:rPr>
        <w:t xml:space="preserve">10.03..2015</w:t>
      </w:r>
      <w:r>
        <w:rPr>
          <w:color w:val="000000"/>
          <w:highlight w:val="white"/>
        </w:rPr>
        <w:t xml:space="preserve"> № 11);</w:t>
      </w:r>
      <w:r/>
    </w:p>
    <w:p>
      <w:pPr>
        <w:pStyle w:val="941"/>
        <w:ind w:firstLine="540"/>
        <w:jc w:val="both"/>
        <w:rPr>
          <w:highlight w:val="white"/>
        </w:rPr>
      </w:pPr>
      <w:r>
        <w:t xml:space="preserve">- при</w:t>
      </w:r>
      <w:r>
        <w:rPr>
          <w:highlight w:val="white"/>
        </w:rPr>
        <w:t xml:space="preserve">каз комитета образования Еврейской автономной области 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br/>
        <w:t xml:space="preserve">от 05.11.2015 № 585 </w:t>
      </w:r>
      <w:r>
        <w:rPr>
          <w:color w:val="000000"/>
          <w:highlight w:val="white"/>
        </w:rPr>
        <w:t xml:space="preserve">«</w:t>
      </w:r>
      <w:r>
        <w:rPr>
          <w:color w:val="000000"/>
          <w:spacing w:val="-4"/>
          <w:highlight w:val="white"/>
        </w:rPr>
        <w:t xml:space="preserve">О внесении изменений в состав аттестационной комиссии по проведению аттестации педагогических работников областных, муниципальных и частных организаций, осуществляющих образовательную деятельность на территории Еврейской автономной области, утвержденный п</w:t>
      </w:r>
      <w:r>
        <w:rPr>
          <w:color w:val="000000"/>
          <w:spacing w:val="-4"/>
          <w:highlight w:val="white"/>
        </w:rPr>
        <w:t xml:space="preserve">риказом комитета образования Еврейской автономной области от 10.03.2015 № 115</w:t>
      </w:r>
      <w:r>
        <w:rPr>
          <w:color w:val="000000"/>
          <w:highlight w:val="white"/>
        </w:rPr>
        <w:t xml:space="preserve">» (зарегистрировано в юридическом управлении аппарата губернатора и правительства ЕАО </w:t>
      </w:r>
      <w:r>
        <w:rPr>
          <w:color w:val="000000"/>
          <w:spacing w:val="-4"/>
          <w:highlight w:val="white"/>
        </w:rPr>
        <w:t xml:space="preserve">06.11.2015 № 82</w:t>
      </w:r>
      <w:r>
        <w:rPr>
          <w:color w:val="000000"/>
          <w:highlight w:val="white"/>
        </w:rPr>
        <w:t xml:space="preserve">)</w:t>
      </w:r>
      <w:r>
        <w:rPr>
          <w:highlight w:val="white"/>
        </w:rPr>
        <w:t xml:space="preserve">;</w:t>
      </w:r>
      <w:r>
        <w:rPr>
          <w:highlight w:val="white"/>
        </w:rPr>
      </w:r>
    </w:p>
    <w:p>
      <w:pPr>
        <w:pStyle w:val="941"/>
        <w:ind w:firstLine="540"/>
        <w:jc w:val="both"/>
      </w:pPr>
      <w:r>
        <w:t xml:space="preserve">- при</w:t>
      </w:r>
      <w:r>
        <w:rPr>
          <w:highlight w:val="white"/>
        </w:rPr>
        <w:t xml:space="preserve">каз комитета образования Еврейской автономной области 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br/>
        <w:t xml:space="preserve">от 30.12.2015 </w:t>
      </w:r>
      <w:r>
        <w:rPr>
          <w:color w:val="000000"/>
          <w:highlight w:val="white"/>
        </w:rPr>
        <w:t xml:space="preserve">№ 734 «</w:t>
      </w:r>
      <w:r>
        <w:rPr>
          <w:color w:val="000000"/>
          <w:spacing w:val="-4"/>
          <w:highlight w:val="white"/>
        </w:rPr>
        <w:t xml:space="preserve">О внесении дополнения в приказ комитета образования Еврейской автономной области от 10.03.2015 № 115</w:t>
      </w:r>
      <w:r>
        <w:rPr>
          <w:color w:val="000000"/>
          <w:highlight w:val="white"/>
        </w:rPr>
        <w:t xml:space="preserve"> «О </w:t>
      </w:r>
      <w:r>
        <w:rPr>
          <w:highlight w:val="white"/>
        </w:rPr>
        <w:t xml:space="preserve">некоторых вопросах организации и проведения аттестации педагогических работников областных, муниципальных и частных организаций, осуществляющих о</w:t>
      </w:r>
      <w:r>
        <w:rPr>
          <w:highlight w:val="white"/>
        </w:rPr>
        <w:t xml:space="preserve">бразовательную деятельность на территории Еврейской автономной области</w:t>
      </w:r>
      <w:r>
        <w:rPr>
          <w:color w:val="000000"/>
          <w:highlight w:val="white"/>
        </w:rPr>
        <w:t xml:space="preserve">» (зарегистрировано в юридическом управлении аппарата губернатора и правительства ЕАО </w:t>
      </w:r>
      <w:r>
        <w:rPr>
          <w:color w:val="000000"/>
          <w:spacing w:val="-4"/>
          <w:highlight w:val="white"/>
        </w:rPr>
        <w:t xml:space="preserve">30.12.2015 № 103</w:t>
      </w:r>
      <w:r>
        <w:rPr>
          <w:color w:val="000000"/>
          <w:highlight w:val="white"/>
        </w:rPr>
        <w:t xml:space="preserve">)</w:t>
      </w:r>
      <w:r>
        <w:rPr>
          <w:highlight w:val="white"/>
        </w:rPr>
        <w:t xml:space="preserve">;</w:t>
      </w:r>
      <w:r/>
    </w:p>
    <w:p>
      <w:pPr>
        <w:pStyle w:val="941"/>
        <w:ind w:firstLine="540"/>
        <w:jc w:val="both"/>
      </w:pPr>
      <w:r>
        <w:t xml:space="preserve">- приказ департамента образования Еврейской автономной области от 11.10.2022 № 495 «</w:t>
      </w:r>
      <w:r>
        <w:rPr>
          <w:color w:val="000000"/>
          <w:spacing w:val="-4"/>
          <w:highlight w:val="white"/>
        </w:rPr>
        <w:t xml:space="preserve">О внесении изменений в приказ комитета образования Еврейской автономной области от 10.03.2015 № 115</w:t>
      </w:r>
      <w:r>
        <w:rPr>
          <w:color w:val="000000"/>
          <w:highlight w:val="white"/>
        </w:rPr>
        <w:t xml:space="preserve"> «О </w:t>
      </w:r>
      <w:r>
        <w:rPr>
          <w:highlight w:val="white"/>
        </w:rPr>
        <w:t xml:space="preserve">некоторых вопросах организации и проведения аттестации педагогических</w:t>
      </w:r>
      <w:r>
        <w:rPr>
          <w:highlight w:val="white"/>
        </w:rPr>
        <w:t xml:space="preserve"> работников областных, муниципальных и частных организаций, осуществляющих образовательную деятельность на территории Еврейской автономной области</w:t>
      </w:r>
      <w:r>
        <w:rPr>
          <w:color w:val="000000"/>
          <w:highlight w:val="white"/>
        </w:rPr>
        <w:t xml:space="preserve">» (зарегистрировано в юридическом управлении аппарата</w:t>
      </w:r>
      <w:r>
        <w:rPr>
          <w:color w:val="000000"/>
          <w:highlight w:val="white"/>
        </w:rPr>
        <w:t xml:space="preserve"> губернатора и правительства ЕАО 12.10</w:t>
      </w:r>
      <w:r>
        <w:rPr>
          <w:color w:val="000000"/>
          <w:spacing w:val="-4"/>
          <w:highlight w:val="white"/>
        </w:rPr>
        <w:t xml:space="preserve">.2022 № 98</w:t>
      </w:r>
      <w:r>
        <w:rPr>
          <w:color w:val="000000"/>
          <w:highlight w:val="white"/>
        </w:rPr>
        <w:t xml:space="preserve">)</w:t>
      </w:r>
      <w:r>
        <w:t xml:space="preserve">.</w:t>
      </w:r>
      <w:r/>
    </w:p>
    <w:p>
      <w:pPr>
        <w:pStyle w:val="941"/>
        <w:ind w:firstLine="540"/>
        <w:jc w:val="both"/>
      </w:pPr>
      <w:r>
        <w:t xml:space="preserve">4. </w:t>
      </w:r>
      <w:r>
        <w:t xml:space="preserve">Кон</w:t>
      </w:r>
      <w:r>
        <w:t xml:space="preserve">троль за</w:t>
      </w:r>
      <w:r>
        <w:t xml:space="preserve"> исполнением данного приказа оставляю за собой.</w:t>
      </w:r>
      <w:r/>
    </w:p>
    <w:p>
      <w:pPr>
        <w:pStyle w:val="941"/>
        <w:ind w:firstLine="540"/>
        <w:jc w:val="both"/>
      </w:pPr>
      <w:r/>
      <w:hyperlink r:id="rId18" w:tooltip="Приказ комитета образования ЕАО от 30.12.2015 N 734 &quot;О внесении дополнения в приказ комитета образования Еврейской автономной области от 10.03.2015 N 115 &quot;О некоторых вопросах организации и проведения аттестации педагогических работников областных, муниципальн" w:history="1">
        <w:r>
          <w:rPr>
            <w:color w:val="000000" w:themeColor="text1"/>
          </w:rPr>
          <w:t xml:space="preserve">5</w:t>
        </w:r>
      </w:hyperlink>
      <w:r>
        <w:rPr>
          <w:color w:val="000000" w:themeColor="text1"/>
        </w:rPr>
        <w:t xml:space="preserve">.</w:t>
      </w:r>
      <w:r>
        <w:t xml:space="preserve"> Настоящий приказ вступает в силу через 10 дней после дня его официально</w:t>
      </w:r>
      <w:r>
        <w:t xml:space="preserve">го опубликования.</w:t>
      </w:r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771"/>
        <w:ind w:left="0"/>
        <w:jc w:val="both"/>
        <w:spacing w:after="0" w:line="240" w:lineRule="auto"/>
        <w:tabs>
          <w:tab w:val="left" w:pos="7937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образования                                                                             А.Я. Бялик</w:t>
      </w:r>
      <w:r>
        <w:rPr>
          <w:rFonts w:ascii="Times New Roman" w:hAnsi="Times New Roman"/>
          <w:sz w:val="28"/>
          <w:szCs w:val="28"/>
        </w:rPr>
      </w:r>
    </w:p>
    <w:p>
      <w:pPr>
        <w:pStyle w:val="941"/>
        <w:jc w:val="right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ind w:left="4677"/>
        <w:sectPr>
          <w:headerReference w:type="default" r:id="rId9"/>
          <w:headerReference w:type="first" r:id="rId10"/>
          <w:footerReference w:type="default" r:id="rId14"/>
          <w:footerReference w:type="first" r:id="rId15"/>
          <w:footnotePr/>
          <w:endnotePr/>
          <w:type w:val="continuous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  <w:outlineLvl w:val="0"/>
      </w:pPr>
      <w:r/>
      <w:r/>
    </w:p>
    <w:p>
      <w:pPr>
        <w:pStyle w:val="941"/>
        <w:ind w:left="4677"/>
        <w:outlineLvl w:val="0"/>
      </w:pPr>
      <w:r>
        <w:t xml:space="preserve">УТВЕРЖДЕН</w:t>
      </w:r>
      <w:r/>
    </w:p>
    <w:p>
      <w:pPr>
        <w:pStyle w:val="941"/>
        <w:ind w:left="4677"/>
      </w:pPr>
      <w:r>
        <w:t xml:space="preserve">приказом министерством образования</w:t>
      </w:r>
      <w:r/>
    </w:p>
    <w:p>
      <w:pPr>
        <w:pStyle w:val="941"/>
        <w:ind w:left="4677"/>
      </w:pPr>
      <w:r>
        <w:t xml:space="preserve">Еврейской автономной области</w:t>
      </w:r>
      <w:r/>
    </w:p>
    <w:p>
      <w:pPr>
        <w:pStyle w:val="941"/>
        <w:ind w:left="4677"/>
      </w:pPr>
      <w:r>
        <w:t xml:space="preserve">от _____________ № ________</w:t>
      </w:r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3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/>
      <w:hyperlink w:tooltip="РЕГЛАМЕНТ" w:anchor="P62" w:history="1">
        <w:r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 xml:space="preserve">Регламент</w:t>
        </w:r>
      </w:hyperlink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работы аттестационной комиссии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 проведению аттестации педагогических работников областных, муниципальных и частных организаций, осуществляющих образовательную деятельность на территории Еврейской автономной области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</w:p>
    <w:p>
      <w:pPr>
        <w:pStyle w:val="941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1. Настоящий регламент определяет порядок работы аттестационной комис</w:t>
      </w:r>
      <w:r>
        <w:rPr>
          <w:color w:val="000000" w:themeColor="text1"/>
        </w:rPr>
        <w:t xml:space="preserve">сии по проведению аттестации педагогических работников областных, муниципальных и частных организаций, осуществляющих образовательную деятельность на территории Еврейской автономной области (далее – комиссия).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2. Комиссия создается для проведения аттестаци</w:t>
      </w:r>
      <w:r>
        <w:rPr>
          <w:color w:val="000000" w:themeColor="text1"/>
        </w:rPr>
        <w:t xml:space="preserve">и педагогических работников областных, муниципальных и частных организаций, осуществляющих образовательную деятельность на территории Еврейской автономной области (далее – педагогические работники), с целью </w:t>
      </w:r>
      <w:r>
        <w:rPr>
          <w:color w:val="000000" w:themeColor="text1"/>
        </w:rPr>
        <w:t xml:space="preserve">установления соответствия уровня квалификации пед</w:t>
      </w:r>
      <w:r>
        <w:rPr>
          <w:color w:val="000000" w:themeColor="text1"/>
        </w:rPr>
        <w:t xml:space="preserve">агогических работников</w:t>
      </w:r>
      <w:r>
        <w:rPr>
          <w:color w:val="000000" w:themeColor="text1"/>
        </w:rPr>
        <w:t xml:space="preserve"> требованиям, предъявляемым к первой (высшей) квалификационной категории.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Комиссия по аттестации педагогических работников создаётся на основании приказа министерства образования Еврейской автономной области, которым утверждаются её состав.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4. Для осуществления всесторонней экспертизы профессиональной деятельности педагогических работников комиссия при</w:t>
      </w:r>
      <w:r>
        <w:rPr>
          <w:color w:val="000000" w:themeColor="text1"/>
        </w:rPr>
        <w:t xml:space="preserve">влекает специалистов (далее – эксперты, экспертные группы), которые действуют в соответствии с </w:t>
      </w:r>
      <w:hyperlink w:tooltip="УСЛОВИЯ" w:anchor="P130" w:history="1">
        <w:r>
          <w:rPr>
            <w:color w:val="000000" w:themeColor="text1"/>
          </w:rPr>
          <w:t xml:space="preserve">условиями</w:t>
        </w:r>
      </w:hyperlink>
      <w:r>
        <w:rPr>
          <w:color w:val="000000" w:themeColor="text1"/>
        </w:rPr>
        <w:t xml:space="preserve"> привлечения специалистов для осуществления всестороннего анализа профессиональной деятельности педагогических работн</w:t>
      </w:r>
      <w:r>
        <w:rPr>
          <w:color w:val="000000" w:themeColor="text1"/>
        </w:rPr>
        <w:t xml:space="preserve">иков, аттестуемых на квалификационную категорию, утвержденными министерством образования Еврейской автономной области (далее – министерство).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5. Основными функциями комиссии являются: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участие в разработке и экспертизе проектов региональных нормативных до</w:t>
      </w:r>
      <w:r>
        <w:rPr>
          <w:color w:val="000000" w:themeColor="text1"/>
        </w:rPr>
        <w:t xml:space="preserve">кументов по аттестации педагогических работников в целях установления квалификационной категории;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установление соответствия (несоответствия) уровня квалификации педагогических работников требованиям, предъявляемым к первой (высшей) квалификационной катег</w:t>
      </w:r>
      <w:r>
        <w:rPr>
          <w:color w:val="000000" w:themeColor="text1"/>
        </w:rPr>
        <w:t xml:space="preserve">ории;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рассмотрение результатов экспертных заключений, представленных экспертами на основании анализа результатов профессиональной деятельности педагогических работников за </w:t>
      </w:r>
      <w:r>
        <w:rPr>
          <w:color w:val="000000" w:themeColor="text1"/>
        </w:rPr>
        <w:t xml:space="preserve">межаттестационный</w:t>
      </w:r>
      <w:r>
        <w:rPr>
          <w:color w:val="000000" w:themeColor="text1"/>
        </w:rPr>
        <w:t xml:space="preserve"> период, для установления педагогическим работникам квалификацион</w:t>
      </w:r>
      <w:r>
        <w:rPr>
          <w:color w:val="000000" w:themeColor="text1"/>
        </w:rPr>
        <w:t xml:space="preserve">ной категории;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принятие решений в случае </w:t>
      </w:r>
      <w:r>
        <w:rPr>
          <w:color w:val="000000" w:themeColor="text1"/>
        </w:rPr>
        <w:t xml:space="preserve">установления фактов нарушения процедуры аттестации</w:t>
      </w:r>
      <w:r>
        <w:rPr>
          <w:color w:val="000000" w:themeColor="text1"/>
        </w:rPr>
        <w:t xml:space="preserve"> либо представления недостоверных сведений аттестуемым работником;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назначать повторную экспертизу документов.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6. Комиссия имеет право: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запрашивать у организаций, в областном государственном автономном учреждении «Центр оценки качества образования» (далее – ЦОКО) необходимые для ее деятельности документы, материалы и информацию об аттестуемых педагогических работниках;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давать рекоменда</w:t>
      </w:r>
      <w:r>
        <w:rPr>
          <w:color w:val="000000" w:themeColor="text1"/>
        </w:rPr>
        <w:t xml:space="preserve">ции аттестуемым работникам по совершенствованию профессиональной деятельности, повышению квалификации и другие рекомендации;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назначать повторную экспертизу документов.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7. Комиссия формируется из числа представителей органов государственной исполнительной</w:t>
      </w:r>
      <w:r>
        <w:rPr>
          <w:color w:val="000000" w:themeColor="text1"/>
        </w:rPr>
        <w:t xml:space="preserve"> власти Еврейской автономной области, органов местного самоуправления, профессиональных союзов, научных организаций и общественных объединений, работников организаций, осуществляющих образовательную деятельность.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Комиссия состоит из председателя, заместите</w:t>
      </w:r>
      <w:r>
        <w:rPr>
          <w:color w:val="000000" w:themeColor="text1"/>
        </w:rPr>
        <w:t xml:space="preserve">ля председателя, ответственного секретаря и членов комиссии.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Персональный состав комиссии утверждается министерством образования.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8. Работу комиссии возглавляет председатель.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В отсутствие председателя комиссии его обязанности исполняет заместитель председа</w:t>
      </w:r>
      <w:r>
        <w:rPr>
          <w:color w:val="000000" w:themeColor="text1"/>
        </w:rPr>
        <w:t xml:space="preserve">теля, на которого возлагаются обязанности председателя.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9. Председатель комиссии: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осуществляет общее руководство деятельностью комиссии и несет ответственность за ее работу;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председательствует на заседаниях комиссии;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осуществляет общий </w:t>
      </w:r>
      <w:r>
        <w:rPr>
          <w:color w:val="000000" w:themeColor="text1"/>
        </w:rPr>
        <w:t xml:space="preserve">контроль за</w:t>
      </w:r>
      <w:r>
        <w:rPr>
          <w:color w:val="000000" w:themeColor="text1"/>
        </w:rPr>
        <w:t xml:space="preserve"> реализацией принятых комиссией решений;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сообщает результаты аттестации педагогическому работнику, непосредственно присутствующему на заседании комиссии.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10. Ответственный секретарь: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организует работу комиссии;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 осущест</w:t>
      </w:r>
      <w:r>
        <w:rPr>
          <w:color w:val="000000" w:themeColor="text1"/>
        </w:rPr>
        <w:t xml:space="preserve">вляет </w:t>
      </w:r>
      <w:r>
        <w:rPr>
          <w:color w:val="000000" w:themeColor="text1"/>
        </w:rPr>
        <w:t xml:space="preserve">контроль за</w:t>
      </w:r>
      <w:r>
        <w:rPr>
          <w:color w:val="000000" w:themeColor="text1"/>
        </w:rPr>
        <w:t xml:space="preserve"> составлением, корректировкой и выполнением графика аттестации педагогических работников с учетом даты подачи заявления и срока действия ранее установленных квалификационных категорий;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 оформляет протоколы заседаний комиссии;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 составляет</w:t>
      </w:r>
      <w:r>
        <w:rPr>
          <w:color w:val="000000" w:themeColor="text1"/>
        </w:rPr>
        <w:t xml:space="preserve"> проекты распорядительных актов департамента по выполнению решений комиссии.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Ответственный секретарь комиссии самостоятельно определяет порядок организации своей работы.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11. Члены комиссии: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 выполняют возложенные на них функции;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 соблюдают требования зак</w:t>
      </w:r>
      <w:r>
        <w:rPr>
          <w:color w:val="000000" w:themeColor="text1"/>
        </w:rPr>
        <w:t xml:space="preserve">онодательных и иных нормативных правовых актов, инструкций;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соблюдают конфиденциальность и установленный порядок обеспечения информационной безопасности.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12. Основной формой деятельности комиссии являются заседания.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color w:val="000000" w:themeColor="text1"/>
        </w:rPr>
        <w:t xml:space="preserve">13.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highlight w:val="white"/>
        </w:rPr>
        <w:t xml:space="preserve">Заседания комиссии проводятся в последнюю неделю каждого месяца в течение учебного года, кроме января, июля, августа и сентября, в соответствии с графиком, утверждённым министерством образования Еврейской автономной области.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О месте и сроке проведения заседания комиссии уведомляются телефонограммой: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 члены комиссии;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 специалисты, осуществляющие экспертизу </w:t>
      </w:r>
      <w:r>
        <w:rPr>
          <w:color w:val="000000" w:themeColor="text1"/>
        </w:rPr>
        <w:t xml:space="preserve">портфолио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аттестуемых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 аттестуемые педагогические</w:t>
      </w:r>
      <w:r>
        <w:rPr>
          <w:color w:val="000000" w:themeColor="text1"/>
        </w:rPr>
        <w:t xml:space="preserve"> работники, письменно уведомившие комиссию о личном присутствии.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14. Заседание комиссии считается правомочным, если на нем присутствуют не менее двух третей от общего числа ее членов.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В перечень обязательных подготавливаемых документов, необходимых для раб</w:t>
      </w:r>
      <w:r>
        <w:rPr>
          <w:color w:val="000000" w:themeColor="text1"/>
        </w:rPr>
        <w:t xml:space="preserve">оты комиссии, входят: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 порядок работы комиссии;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- экспертные заключения на аттестуемых педагогических работников (при необходимости).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15. В случае необходимости комиссия заносит в протокол рекомендации по совершенствованию профессиональной деятельности пе</w:t>
      </w:r>
      <w:r>
        <w:rPr>
          <w:color w:val="000000" w:themeColor="text1"/>
        </w:rPr>
        <w:t xml:space="preserve">дагогического работника, по повышению его квалификации и другие рекомендации.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16. Решение комиссии оформляется протоколом, который подписывается председателем, заместителем председателя, секретарем и членами комиссии, принимавшими участие в голосовании.</w:t>
      </w:r>
      <w:r>
        <w:rPr>
          <w:color w:val="000000" w:themeColor="text1"/>
        </w:rPr>
      </w:r>
    </w:p>
    <w:p>
      <w:pPr>
        <w:pStyle w:val="941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Ре</w:t>
      </w:r>
      <w:r>
        <w:rPr>
          <w:color w:val="000000" w:themeColor="text1"/>
        </w:rPr>
        <w:t xml:space="preserve">шение комиссии вступает в силу со дня его вынесения.</w:t>
      </w:r>
      <w:r>
        <w:rPr>
          <w:color w:val="000000" w:themeColor="text1"/>
        </w:rPr>
      </w:r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</w:pPr>
      <w:r/>
      <w:r/>
    </w:p>
    <w:p>
      <w:pPr>
        <w:pStyle w:val="941"/>
        <w:ind w:firstLine="0"/>
        <w:jc w:val="left"/>
      </w:pPr>
      <w:r/>
      <w:r/>
    </w:p>
    <w:p>
      <w:pPr>
        <w:pStyle w:val="941"/>
        <w:jc w:val="both"/>
      </w:pPr>
      <w:r/>
      <w:r/>
    </w:p>
    <w:p>
      <w:pPr>
        <w:pStyle w:val="941"/>
        <w:jc w:val="both"/>
        <w:sectPr>
          <w:headerReference w:type="first" r:id="rId11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/>
      <w:r/>
    </w:p>
    <w:p>
      <w:pPr>
        <w:pStyle w:val="941"/>
        <w:ind w:left="4819"/>
        <w:outlineLvl w:val="0"/>
      </w:pPr>
      <w:r>
        <w:t xml:space="preserve">УТВЕРЖДЕНЫ</w:t>
      </w:r>
      <w:r/>
    </w:p>
    <w:p>
      <w:pPr>
        <w:pStyle w:val="941"/>
        <w:ind w:left="4819"/>
      </w:pPr>
      <w:r>
        <w:t xml:space="preserve">Приказом министерства образования</w:t>
      </w:r>
      <w:r/>
    </w:p>
    <w:p>
      <w:pPr>
        <w:pStyle w:val="941"/>
        <w:ind w:left="4819"/>
      </w:pPr>
      <w:r>
        <w:t xml:space="preserve">Еврейской автономной области</w:t>
      </w:r>
      <w:r/>
    </w:p>
    <w:p>
      <w:pPr>
        <w:pStyle w:val="941"/>
        <w:ind w:left="4819"/>
      </w:pPr>
      <w:r>
        <w:t xml:space="preserve">от ______________ № ________</w:t>
      </w:r>
      <w:r/>
    </w:p>
    <w:p>
      <w:pPr>
        <w:pStyle w:val="941"/>
        <w:jc w:val="both"/>
      </w:pPr>
      <w:r/>
      <w:r/>
    </w:p>
    <w:p>
      <w:pPr>
        <w:pStyle w:val="941"/>
        <w:jc w:val="center"/>
      </w:pPr>
      <w:r>
        <w:t xml:space="preserve">Условия привлечения специалистов </w:t>
      </w:r>
      <w:r>
        <w:br/>
      </w:r>
      <w:r>
        <w:t xml:space="preserve">для осуществления всестороннего анализа профессиональной деятельности педагогических работников, аттестуемых на квалификационную категорию</w:t>
      </w:r>
      <w:r/>
    </w:p>
    <w:p>
      <w:pPr>
        <w:pStyle w:val="941"/>
        <w:jc w:val="both"/>
      </w:pPr>
      <w:r/>
      <w:r/>
    </w:p>
    <w:p>
      <w:pPr>
        <w:pStyle w:val="943"/>
        <w:jc w:val="center"/>
        <w:rPr>
          <w:rFonts w:ascii="Times New Roman" w:hAnsi="Times New Roman" w:cs="Times New Roman"/>
          <w:b w:val="0"/>
          <w:sz w:val="28"/>
          <w:szCs w:val="28"/>
        </w:rPr>
        <w:outlineLvl w:val="1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Общие положения</w:t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41"/>
        <w:jc w:val="both"/>
      </w:pPr>
      <w:r/>
      <w:r/>
    </w:p>
    <w:p>
      <w:pPr>
        <w:pStyle w:val="941"/>
        <w:ind w:firstLine="540"/>
        <w:jc w:val="both"/>
      </w:pPr>
      <w:r>
        <w:t xml:space="preserve">1.1. </w:t>
      </w:r>
      <w:r>
        <w:t xml:space="preserve">Для осуществл</w:t>
      </w:r>
      <w:r>
        <w:t xml:space="preserve">ения всестороннего анализа профессиональной деятельности педагогических работников (далее – экспертиза), аттестуемых на квалификационную категорию, привлекаются специалисты, которые действуют в соответствии с условиями привлечения специалистов для осуществ</w:t>
      </w:r>
      <w:r>
        <w:t xml:space="preserve">ления всестороннего анализа профессиональной деятельности педагогических работников, аттестуемых на квалификационную категорию (далее - эксперт, экспертные группы), утвержденными министерством образования Еврейской автономной области (далее - министерство)</w:t>
      </w:r>
      <w:r>
        <w:t xml:space="preserve">.</w:t>
      </w:r>
      <w:r/>
    </w:p>
    <w:p>
      <w:pPr>
        <w:pStyle w:val="941"/>
        <w:ind w:firstLine="540"/>
        <w:jc w:val="both"/>
      </w:pPr>
      <w:r>
        <w:t xml:space="preserve">1.2. Эксперт обеспечивает:</w:t>
      </w:r>
      <w:r/>
    </w:p>
    <w:p>
      <w:pPr>
        <w:pStyle w:val="941"/>
        <w:ind w:firstLine="540"/>
        <w:jc w:val="both"/>
      </w:pPr>
      <w:r>
        <w:t xml:space="preserve">- соблюдение требований законодательных и иных нормативных правовых актов, инструкций по вопросам проведения аттестации педагогических работников области;</w:t>
      </w:r>
      <w:r/>
    </w:p>
    <w:p>
      <w:pPr>
        <w:pStyle w:val="941"/>
        <w:ind w:firstLine="540"/>
        <w:jc w:val="both"/>
      </w:pPr>
      <w:r>
        <w:t xml:space="preserve">- проведение всестороннего анализа профессиональной деятельности педагог</w:t>
      </w:r>
      <w:r>
        <w:t xml:space="preserve">ических работников за </w:t>
      </w:r>
      <w:r>
        <w:t xml:space="preserve">межаттестационный</w:t>
      </w:r>
      <w:r>
        <w:t xml:space="preserve"> период в форме заявления с приложением пакета документов (документально зафиксированных результатов, индивидуальных достижений, соответствующих положениям</w:t>
      </w:r>
      <w:r>
        <w:rPr>
          <w:color w:val="000000" w:themeColor="text1"/>
        </w:rPr>
        <w:t xml:space="preserve"> </w:t>
      </w:r>
      <w:hyperlink r:id="rId19" w:tooltip="Приказ Минобрнауки России от 07.04.2014 N 276 (ред. от 23.12.2020) &quot;Об утверждении Порядка проведения аттестации педагогических работников организаций, осуществляющих образовательную деятельность&quot; (Зарегистрировано в Минюсте России 23.05.2014 N 32408) --------" w:history="1">
        <w:r>
          <w:rPr>
            <w:color w:val="000000" w:themeColor="text1"/>
          </w:rPr>
          <w:t xml:space="preserve">пунктов 35</w:t>
        </w:r>
      </w:hyperlink>
      <w:r>
        <w:rPr>
          <w:color w:val="000000" w:themeColor="text1"/>
        </w:rPr>
        <w:t xml:space="preserve">, </w:t>
      </w:r>
      <w:hyperlink r:id="rId20" w:tooltip="Приказ Минобрнауки России от 07.04.2014 N 276 (ред. от 23.12.2020) &quot;Об утверждении Порядка проведения аттестации педагогических работников организаций, осуществляющих образовательную деятельность&quot; (Зарегистрировано в Минюсте России 23.05.2014 N 32408) --------" w:history="1">
        <w:r>
          <w:rPr>
            <w:color w:val="000000" w:themeColor="text1"/>
          </w:rPr>
          <w:t xml:space="preserve">36</w:t>
        </w:r>
      </w:hyperlink>
      <w:r>
        <w:t xml:space="preserve"> Порядка проведения аттестации педагогических работников </w:t>
      </w:r>
      <w:r>
        <w:t xml:space="preserve">организаций, осуществляющих образовательную деятельность, утвержденного Приказом Министерства просвещения Российской Федерации от 24 марта 2023 г. № 196 (далее – Порядок аттестации);</w:t>
      </w:r>
      <w:r/>
    </w:p>
    <w:p>
      <w:pPr>
        <w:pStyle w:val="941"/>
        <w:ind w:firstLine="540"/>
        <w:jc w:val="both"/>
      </w:pPr>
      <w:r>
        <w:t xml:space="preserve">- оценку профессиональных достижений педагогического работника в баллах с</w:t>
      </w:r>
      <w:r>
        <w:t xml:space="preserve">огласно критериям, показателям оценки профессиональной деятельности педагогического работника для установления соответствующей квалификационной категории (первой или высшей) по занимаемой должности, утвержденным нормативным актом министерства в соответстви</w:t>
      </w:r>
      <w:r>
        <w:t xml:space="preserve">и с положениями </w:t>
      </w:r>
      <w:hyperlink r:id="rId21" w:tooltip="Приказ Минобрнауки России от 07.04.2014 N 276 (ред. от 23.12.2020) &quot;Об утверждении Порядка проведения аттестации педагогических работников организаций, осуществляющих образовательную деятельность&quot; (Зарегистрировано в Минюсте России 23.05.2014 N 32408) --------" w:history="1">
        <w:r>
          <w:rPr>
            <w:color w:val="000000" w:themeColor="text1"/>
          </w:rPr>
          <w:t xml:space="preserve">пунктов 35</w:t>
        </w:r>
      </w:hyperlink>
      <w:r>
        <w:rPr>
          <w:color w:val="000000" w:themeColor="text1"/>
        </w:rPr>
        <w:t xml:space="preserve">, </w:t>
      </w:r>
      <w:hyperlink r:id="rId22" w:tooltip="Приказ Минобрнауки России от 07.04.2014 N 276 (ред. от 23.12.2020) &quot;Об утверждении Порядка проведения аттестации педагогических работников организаций, осуществляющих образовательную деятельность&quot; (Зарегистрировано в Минюсте России 23.05.2014 N 32408) --------" w:history="1">
        <w:r>
          <w:rPr>
            <w:color w:val="000000" w:themeColor="text1"/>
          </w:rPr>
          <w:t xml:space="preserve">36</w:t>
        </w:r>
      </w:hyperlink>
      <w:r>
        <w:t xml:space="preserve"> Порядка аттестации;</w:t>
      </w:r>
      <w:r/>
    </w:p>
    <w:p>
      <w:pPr>
        <w:pStyle w:val="941"/>
        <w:ind w:firstLine="540"/>
        <w:jc w:val="both"/>
        <w:rPr>
          <w:color w:val="000000" w:themeColor="text1"/>
        </w:rPr>
      </w:pPr>
      <w:r>
        <w:t xml:space="preserve">- </w:t>
      </w:r>
      <w:r>
        <w:rPr>
          <w:color w:val="000000" w:themeColor="text1"/>
        </w:rPr>
        <w:t xml:space="preserve">оформление по результатам проведенной экспертизы экспертных заключений об уровне профессиональной деятельности педагогических работников, аттестуемых на квалификационную категорию (первую или высшую), </w:t>
      </w:r>
      <w:r>
        <w:rPr>
          <w:color w:val="000000" w:themeColor="text1"/>
        </w:rPr>
        <w:t xml:space="preserve">утвержденных приказом департамента </w:t>
      </w:r>
      <w:r>
        <w:rPr>
          <w:color w:val="000000" w:themeColor="text1"/>
        </w:rPr>
        <w:t xml:space="preserve">образования Еврейской автономной области от 28.03.2023</w:t>
      </w:r>
      <w:r>
        <w:rPr>
          <w:color w:val="000000" w:themeColor="text1"/>
        </w:rPr>
        <w:t xml:space="preserve"> № 103 «Об утверждении экспертных заключений об уровне профессиональной деятельности педагогического работника образовательной организации» и приказом министерства </w:t>
      </w:r>
      <w:r>
        <w:rPr>
          <w:color w:val="000000" w:themeColor="text1"/>
        </w:rPr>
        <w:t xml:space="preserve">образования Еврейской автономной области</w:t>
      </w:r>
      <w:r/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о</w:t>
      </w:r>
      <w:r>
        <w:rPr>
          <w:color w:val="000000" w:themeColor="text1"/>
        </w:rPr>
        <w:t xml:space="preserve">т 13.07.2026 </w:t>
        <w:br/>
      </w:r>
      <w:r>
        <w:rPr>
          <w:color w:val="000000" w:themeColor="text1"/>
        </w:rPr>
        <w:t xml:space="preserve">№ 348 «Об утверждении экспертного заключения об уровне профессиональной деятельности педагогиче</w:t>
      </w:r>
      <w:r>
        <w:rPr>
          <w:color w:val="000000" w:themeColor="text1"/>
        </w:rPr>
        <w:t xml:space="preserve">ского работника образовательной организации</w:t>
      </w:r>
      <w:r>
        <w:rPr>
          <w:color w:val="000000" w:themeColor="text1"/>
        </w:rPr>
        <w:t xml:space="preserve">».</w:t>
      </w:r>
      <w:r>
        <w:rPr>
          <w:color w:val="000000" w:themeColor="text1"/>
        </w:rPr>
      </w:r>
    </w:p>
    <w:p>
      <w:pPr>
        <w:pStyle w:val="941"/>
        <w:ind w:firstLine="540"/>
        <w:jc w:val="both"/>
      </w:pPr>
      <w:r>
        <w:t xml:space="preserve">- соблюдение</w:t>
      </w:r>
      <w:r>
        <w:t xml:space="preserve"> установленных сроков проведения экспертизы и подготовки экспертных заключений – первая и третья декады каждого месяца (срок, не превышающий 20 (двадцати) рабочих дней);</w:t>
      </w:r>
      <w:r/>
    </w:p>
    <w:p>
      <w:pPr>
        <w:pStyle w:val="941"/>
        <w:ind w:firstLine="540"/>
        <w:jc w:val="both"/>
      </w:pPr>
      <w:r>
        <w:t xml:space="preserve">- незамедлительное информирование экспертной группы о случаях возникновения обстоятель</w:t>
      </w:r>
      <w:r>
        <w:t xml:space="preserve">ств, препятствующих проведению экспертизы;</w:t>
      </w:r>
      <w:r/>
    </w:p>
    <w:p>
      <w:pPr>
        <w:pStyle w:val="941"/>
        <w:ind w:firstLine="540"/>
        <w:jc w:val="both"/>
      </w:pPr>
      <w:r>
        <w:t xml:space="preserve">- соблюдение конфиденциальности и установленного порядка обеспечения информационной безопасности, за исключением случаев, предусмотренных законодательством Российской Федерации;</w:t>
      </w:r>
      <w:r/>
    </w:p>
    <w:p>
      <w:pPr>
        <w:pStyle w:val="941"/>
        <w:ind w:firstLine="540"/>
        <w:jc w:val="both"/>
      </w:pPr>
      <w:r>
        <w:t xml:space="preserve">- объективность, полноту и качество</w:t>
      </w:r>
      <w:r>
        <w:t xml:space="preserve"> проведенной экспертизы заявления с приложением пакета документов;</w:t>
      </w:r>
      <w:r/>
    </w:p>
    <w:p>
      <w:pPr>
        <w:pStyle w:val="941"/>
        <w:ind w:firstLine="540"/>
        <w:jc w:val="both"/>
      </w:pPr>
      <w:r>
        <w:t xml:space="preserve">- исполнение решений аттестационной комиссии министерства в части повторной экспертизы документов.</w:t>
      </w:r>
      <w:r/>
    </w:p>
    <w:p>
      <w:pPr>
        <w:pStyle w:val="941"/>
        <w:ind w:firstLine="540"/>
        <w:jc w:val="both"/>
      </w:pPr>
      <w:r>
        <w:t xml:space="preserve">1.3. Требования к квалификации эксперта:</w:t>
      </w:r>
      <w:r/>
    </w:p>
    <w:p>
      <w:pPr>
        <w:pStyle w:val="941"/>
        <w:ind w:firstLine="540"/>
        <w:jc w:val="both"/>
      </w:pPr>
      <w:r>
        <w:t xml:space="preserve">- высшее профессиональное образование по направле</w:t>
      </w:r>
      <w:r>
        <w:t xml:space="preserve">нию подготовки «Образование и педагогические науки» или в области, соответствующей преподаваемому предмету, дисциплине, направлению деятельности;</w:t>
      </w:r>
      <w:r/>
    </w:p>
    <w:p>
      <w:pPr>
        <w:pStyle w:val="941"/>
        <w:ind w:firstLine="540"/>
        <w:jc w:val="both"/>
      </w:pPr>
      <w:r>
        <w:t xml:space="preserve">- стаж работы в сфере образовательной деятельности (по направлениям предметных областей учебного плана и профе</w:t>
      </w:r>
      <w:r>
        <w:t xml:space="preserve">ссиональной деятельности) не менее 5 лет;</w:t>
      </w:r>
      <w:r/>
    </w:p>
    <w:p>
      <w:pPr>
        <w:pStyle w:val="941"/>
        <w:ind w:firstLine="540"/>
        <w:jc w:val="both"/>
      </w:pPr>
      <w:r>
        <w:t xml:space="preserve">- наличие высшей или первой квалификационной категории – для осуществления экспертизы документально зафиксированных результатов работы и индивидуальных достижений педагогических работников, претендующих на установл</w:t>
      </w:r>
      <w:r>
        <w:t xml:space="preserve">ение высшей квалификационной категории, и не ниже первой – для осуществления экспертизы документально зафиксированных результатов работы индивидуальных достижений педагогических работников, претендующих на установление первой квалификационной категории (да</w:t>
      </w:r>
      <w:r>
        <w:t xml:space="preserve">нные требования применимы к экспертам из числа педагогических работников, в отношении которых предусмотрена аттестация).</w:t>
      </w:r>
      <w:r/>
    </w:p>
    <w:p>
      <w:pPr>
        <w:pStyle w:val="941"/>
        <w:ind w:firstLine="540"/>
        <w:jc w:val="both"/>
      </w:pPr>
      <w:r>
        <w:t xml:space="preserve">Эксперт должен обеспечивать соответствие уровня своей квалификации установленным требованиям с учетом изменения законодательства Россий</w:t>
      </w:r>
      <w:r>
        <w:t xml:space="preserve">ской Федерации в сфере образования (в том числе федеральных государственных образовательных стандартов и федеральных государственных требований) путем повышения квалификации, самообразования, участия в семинарах, конференциях и иных мероприятиях, проводимы</w:t>
      </w:r>
      <w:r>
        <w:t xml:space="preserve">х министерством или его подведомственными организациями.</w:t>
      </w:r>
      <w:r/>
    </w:p>
    <w:p>
      <w:pPr>
        <w:pStyle w:val="941"/>
        <w:ind w:firstLine="540"/>
        <w:jc w:val="both"/>
      </w:pPr>
      <w:r>
        <w:t xml:space="preserve">1.4. Комиссия вправе принять решение о прекращении полномочий эксперта в следующих случаях:</w:t>
      </w:r>
      <w:r/>
    </w:p>
    <w:p>
      <w:pPr>
        <w:pStyle w:val="941"/>
        <w:ind w:firstLine="540"/>
        <w:jc w:val="both"/>
      </w:pPr>
      <w:r>
        <w:t xml:space="preserve">- неоднократное неисполнение экспертом обязанностей, установленных заключенным с ним гражданско-правовым до</w:t>
      </w:r>
      <w:r>
        <w:t xml:space="preserve">говором о проведении экспертизы, либо неоднократный отказ эксперта от заключения указанного договора без уважительной причины;</w:t>
      </w:r>
      <w:r/>
    </w:p>
    <w:p>
      <w:pPr>
        <w:pStyle w:val="941"/>
        <w:ind w:firstLine="540"/>
        <w:jc w:val="both"/>
      </w:pPr>
      <w:r>
        <w:t xml:space="preserve">- нарушение экспертом при проведении экспертизы прав и законных интересов аттестуемых педагогических работников, установленное в </w:t>
      </w:r>
      <w:r>
        <w:t xml:space="preserve">ходе проверки поступившей в комиссию информации;</w:t>
      </w:r>
      <w:r/>
    </w:p>
    <w:p>
      <w:pPr>
        <w:pStyle w:val="941"/>
        <w:ind w:firstLine="540"/>
        <w:jc w:val="both"/>
      </w:pPr>
      <w:r>
        <w:t xml:space="preserve">- невыполнение экспертом требований, предусмотренных нормативными правовыми актами, регламентирующими проведение аттестации педагогических работников;</w:t>
      </w:r>
      <w:r/>
    </w:p>
    <w:p>
      <w:pPr>
        <w:pStyle w:val="941"/>
        <w:ind w:firstLine="540"/>
        <w:jc w:val="both"/>
      </w:pPr>
      <w:r>
        <w:t xml:space="preserve">- представление экспертом заявления о прекращении полном</w:t>
      </w:r>
      <w:r>
        <w:t xml:space="preserve">очий эксперта.</w:t>
      </w:r>
      <w:r/>
    </w:p>
    <w:p>
      <w:pPr>
        <w:pStyle w:val="941"/>
        <w:jc w:val="both"/>
      </w:pPr>
      <w:r/>
      <w:r/>
    </w:p>
    <w:p>
      <w:pPr>
        <w:pStyle w:val="943"/>
        <w:jc w:val="center"/>
        <w:rPr>
          <w:rFonts w:ascii="Times New Roman" w:hAnsi="Times New Roman" w:cs="Times New Roman"/>
          <w:b w:val="0"/>
          <w:sz w:val="28"/>
          <w:szCs w:val="28"/>
        </w:rPr>
        <w:outlineLvl w:val="1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Порядок оплаты труда экспертов</w:t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41"/>
        <w:jc w:val="both"/>
      </w:pPr>
      <w:r/>
      <w:r/>
    </w:p>
    <w:p>
      <w:pPr>
        <w:pStyle w:val="941"/>
        <w:ind w:firstLine="540"/>
        <w:jc w:val="both"/>
      </w:pPr>
      <w:r>
        <w:t xml:space="preserve">2.1. Оплата труда экспертов осуществляется за счет средств областного бюджета.</w:t>
      </w:r>
      <w:r/>
    </w:p>
    <w:p>
      <w:pPr>
        <w:pStyle w:val="941"/>
        <w:ind w:firstLine="540"/>
        <w:jc w:val="both"/>
      </w:pPr>
      <w:r>
        <w:t xml:space="preserve">2.2. Привлечение экспертов к реализации мероприятий по организации и проведению экспертизы результатов профессиональной деятел</w:t>
      </w:r>
      <w:r>
        <w:t xml:space="preserve">ьности педагогических работников, аттестуемых на квалификационную категорию, осуществляется на основании договора об оказании услуг (далее – договор).</w:t>
      </w:r>
      <w:r/>
    </w:p>
    <w:p>
      <w:pPr>
        <w:pStyle w:val="941"/>
        <w:jc w:val="both"/>
      </w:pPr>
      <w:r/>
      <w:r/>
    </w:p>
    <w:p>
      <w:pPr>
        <w:pStyle w:val="943"/>
        <w:jc w:val="center"/>
        <w:rPr>
          <w:rFonts w:ascii="Times New Roman" w:hAnsi="Times New Roman" w:cs="Times New Roman"/>
          <w:b w:val="0"/>
          <w:sz w:val="28"/>
          <w:szCs w:val="28"/>
        </w:rPr>
        <w:outlineLvl w:val="1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Расчет затрат на оплату труда экспертов</w:t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41"/>
        <w:jc w:val="both"/>
      </w:pPr>
      <w:r/>
      <w:r/>
    </w:p>
    <w:p>
      <w:pPr>
        <w:pStyle w:val="941"/>
        <w:ind w:firstLine="540"/>
        <w:jc w:val="both"/>
      </w:pPr>
      <w:r>
        <w:t xml:space="preserve">3.1. Расчет затрат на оплату труда </w:t>
      </w:r>
      <w:r>
        <w:t xml:space="preserve">экспертов рассчитывается по следующей формуле:</w:t>
      </w:r>
      <w:r/>
    </w:p>
    <w:p>
      <w:pPr>
        <w:pStyle w:val="941"/>
        <w:jc w:val="both"/>
      </w:pPr>
      <w:r/>
      <w:r/>
    </w:p>
    <w:p>
      <w:pPr>
        <w:pStyle w:val="941"/>
        <w:ind w:firstLine="540"/>
        <w:jc w:val="both"/>
        <w:rPr>
          <w:lang w:val="en-US"/>
        </w:rPr>
      </w:pPr>
      <w:r>
        <w:rPr>
          <w:lang w:val="en-US"/>
        </w:rPr>
        <w:t xml:space="preserve">S = C</w:t>
      </w:r>
      <w:r>
        <w:rPr>
          <w:vertAlign w:val="subscript"/>
        </w:rPr>
        <w:t xml:space="preserve">экс</w:t>
      </w:r>
      <w:r>
        <w:rPr>
          <w:lang w:val="en-US"/>
        </w:rPr>
        <w:t xml:space="preserve"> x T</w:t>
      </w:r>
      <w:r>
        <w:rPr>
          <w:vertAlign w:val="subscript"/>
        </w:rPr>
        <w:t xml:space="preserve">пр</w:t>
      </w:r>
      <w:r>
        <w:rPr>
          <w:vertAlign w:val="subscript"/>
          <w:lang w:val="en-US"/>
        </w:rPr>
        <w:t xml:space="preserve">.</w:t>
      </w:r>
      <w:r>
        <w:rPr>
          <w:vertAlign w:val="subscript"/>
        </w:rPr>
        <w:t xml:space="preserve">экс</w:t>
      </w:r>
      <w:r>
        <w:rPr>
          <w:lang w:val="en-US"/>
        </w:rPr>
        <w:t xml:space="preserve">,</w:t>
      </w:r>
      <w:r>
        <w:rPr>
          <w:lang w:val="en-US"/>
        </w:rPr>
      </w:r>
    </w:p>
    <w:p>
      <w:pPr>
        <w:pStyle w:val="941"/>
        <w:jc w:val="both"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941"/>
        <w:ind w:firstLine="540"/>
        <w:jc w:val="both"/>
      </w:pPr>
      <w:r>
        <w:t xml:space="preserve">где:</w:t>
      </w:r>
      <w:r/>
    </w:p>
    <w:p>
      <w:pPr>
        <w:pStyle w:val="941"/>
        <w:ind w:firstLine="540"/>
        <w:jc w:val="both"/>
      </w:pPr>
      <w:r>
        <w:t xml:space="preserve">S - оплата труда эксперта;</w:t>
      </w:r>
      <w:r/>
    </w:p>
    <w:p>
      <w:pPr>
        <w:pStyle w:val="941"/>
        <w:ind w:firstLine="540"/>
        <w:jc w:val="both"/>
      </w:pPr>
      <w:r>
        <w:t xml:space="preserve">C</w:t>
      </w:r>
      <w:r>
        <w:rPr>
          <w:vertAlign w:val="subscript"/>
        </w:rPr>
        <w:t xml:space="preserve">экс</w:t>
      </w:r>
      <w:r>
        <w:t xml:space="preserve"> - почасовая ставка оплаты труда эксперта.</w:t>
      </w:r>
      <w:r/>
    </w:p>
    <w:p>
      <w:pPr>
        <w:pStyle w:val="941"/>
        <w:ind w:firstLine="540"/>
        <w:jc w:val="both"/>
      </w:pPr>
      <w:r>
        <w:t xml:space="preserve">Почасовая ставка оплаты труда</w:t>
      </w:r>
      <w:r>
        <w:t xml:space="preserve"> </w:t>
      </w:r>
      <w:r>
        <w:rPr>
          <w:color w:val="000000" w:themeColor="text1"/>
        </w:rPr>
        <w:t xml:space="preserve">каждого</w:t>
      </w:r>
      <w:r>
        <w:t xml:space="preserve"> эксперта составляет 2 часа </w:t>
      </w:r>
      <w:r>
        <w:br/>
        <w:t xml:space="preserve">на 1 соискателя</w:t>
      </w:r>
      <w:r>
        <w:t xml:space="preserve">.</w:t>
      </w:r>
      <w:r/>
    </w:p>
    <w:p>
      <w:pPr>
        <w:pStyle w:val="941"/>
        <w:ind w:firstLine="540"/>
        <w:jc w:val="both"/>
      </w:pPr>
      <w:r>
        <w:t xml:space="preserve">Размер почасовой ставки оплаты труда эксперта применяется в размерах, установленных</w:t>
      </w:r>
      <w:r>
        <w:rPr>
          <w:color w:val="000000" w:themeColor="text1"/>
        </w:rPr>
        <w:t xml:space="preserve"> </w:t>
      </w:r>
      <w:hyperlink r:id="rId23" w:tooltip="Постановление правительства ЕАО от 12.10.2010 N 391-пп (ред. от 20.05.2025) &quot;О системе оплаты труда работников областных государственных учреждений, функции и полномочия учредителя которых осуществляет комитет образования Еврейской автономной области&quot; (вместе " w:history="1">
        <w:r>
          <w:rPr>
            <w:color w:val="000000" w:themeColor="text1"/>
          </w:rPr>
          <w:t xml:space="preserve">пунктом 28 раздела 6</w:t>
        </w:r>
      </w:hyperlink>
      <w:r>
        <w:rPr>
          <w:color w:val="000000" w:themeColor="text1"/>
        </w:rPr>
        <w:t xml:space="preserve"> </w:t>
      </w:r>
      <w:r>
        <w:t xml:space="preserve">Положения об оплате тру</w:t>
      </w:r>
      <w:r>
        <w:t xml:space="preserve">да работников областных государственных учреждений, функции и полномочия учредителя которых осуществляет комитет образования Еврейской автономной области, утвержденного постановлением правительства Еврейской автономной области от 12.10.2010 № 391-пп «О сис</w:t>
      </w:r>
      <w:r>
        <w:t xml:space="preserve">теме оплаты труда работников областных государственных учреждений, функции и полномочия учредителя которых осуществляет комитет образования Еврейской автономной</w:t>
      </w:r>
      <w:r>
        <w:t xml:space="preserve"> области».</w:t>
      </w:r>
      <w:r/>
    </w:p>
    <w:p>
      <w:pPr>
        <w:pStyle w:val="941"/>
        <w:ind w:firstLine="540"/>
        <w:jc w:val="both"/>
      </w:pPr>
      <w:r>
        <w:t xml:space="preserve">3.4. Факт исполнения экспертом обязательств оформляется актом сдачи-приемки работ (ус</w:t>
      </w:r>
      <w:r>
        <w:t xml:space="preserve">луг) ежеквартально не позднее 5 (пяти) рабочих дней после окончания отчетного периода, в котором оказана работа (услуга).</w:t>
      </w:r>
      <w:r/>
    </w:p>
    <w:p>
      <w:pPr>
        <w:pStyle w:val="941"/>
        <w:ind w:firstLine="540"/>
        <w:jc w:val="both"/>
      </w:pPr>
      <w:r>
        <w:t xml:space="preserve">3.5. Оплата труда экспертов выплачивается </w:t>
      </w:r>
      <w:r>
        <w:rPr>
          <w:color w:val="000000" w:themeColor="text1"/>
        </w:rPr>
        <w:t xml:space="preserve">областным государственным автономным учреждением «Центр оценки качества образования»</w:t>
      </w:r>
      <w:r>
        <w:t xml:space="preserve"> </w:t>
      </w:r>
      <w:r>
        <w:br/>
        <w:t xml:space="preserve">в соот</w:t>
      </w:r>
      <w:r>
        <w:t xml:space="preserve">ветствии с актом сдачи-приемки работ (услуг).</w:t>
      </w:r>
      <w:r/>
    </w:p>
    <w:sectPr>
      <w:headerReference w:type="default" r:id="rId12"/>
      <w:headerReference w:type="first" r:id="rId13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jc w:val="right"/>
    </w:pPr>
    <w:r/>
    <w:r>
      <w:rPr>
        <w:rFonts w:ascii="Calibri" w:hAnsi="Calibri" w:eastAsia="Calibri" w:cs="Calibri"/>
        <w:sz w:val="20"/>
        <w:szCs w:val="20"/>
      </w:rPr>
      <w:t xml:space="preserve">Цыганкова/2026-9-ОБР (1)</w:t>
    </w:r>
    <w:r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jc w:val="right"/>
    </w:pPr>
    <w:r/>
    <w:r>
      <w:rPr>
        <w:rFonts w:ascii="Calibri" w:hAnsi="Calibri" w:eastAsia="Calibri" w:cs="Calibri"/>
        <w:sz w:val="20"/>
        <w:szCs w:val="20"/>
      </w:rPr>
      <w:t xml:space="preserve">Цыганкова/2026-9-ОБР (1)</w:t>
    </w:r>
    <w:r/>
    <w:r/>
    <w:r/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jc w:val="center"/>
      <w:rPr>
        <w:rFonts w:ascii="Times New Roman" w:hAnsi="Times New Roman"/>
        <w:sz w:val="24"/>
        <w:szCs w:val="24"/>
      </w:rPr>
    </w:pPr>
    <w:fldSimple w:instr="PAGE \* MERGEFORMAT">
      <w:r>
        <w:rPr>
          <w:rFonts w:ascii="Times New Roman" w:hAnsi="Times New Roman"/>
          <w:sz w:val="24"/>
          <w:szCs w:val="24"/>
        </w:rPr>
        <w:t xml:space="preserve">1</w:t>
      </w:r>
    </w:fldSimple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jc w:val="center"/>
      <w:rPr>
        <w:rFonts w:ascii="Times New Roman" w:hAnsi="Times New Roman"/>
        <w:sz w:val="24"/>
        <w:szCs w:val="24"/>
      </w:rPr>
    </w:pPr>
    <w:fldSimple w:instr="PAGE \* MERGEFORMAT">
      <w:r>
        <w:rPr>
          <w:rFonts w:ascii="Times New Roman" w:hAnsi="Times New Roman"/>
          <w:sz w:val="24"/>
          <w:szCs w:val="24"/>
        </w:rPr>
        <w:t xml:space="preserve">1</w:t>
      </w:r>
    </w:fldSimple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  <w:p>
    <w:pPr>
      <w:pStyle w:val="781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5"/>
  </w:num>
  <w:num w:numId="5">
    <w:abstractNumId w:val="0"/>
  </w:num>
  <w:num w:numId="6">
    <w:abstractNumId w:val="7"/>
  </w:num>
  <w:num w:numId="7">
    <w:abstractNumId w:val="9"/>
  </w:num>
  <w:num w:numId="8">
    <w:abstractNumId w:val="2"/>
  </w:num>
  <w:num w:numId="9">
    <w:abstractNumId w:val="11"/>
  </w:num>
  <w:num w:numId="10">
    <w:abstractNumId w:val="1"/>
  </w:num>
  <w:num w:numId="11">
    <w:abstractNumId w:val="10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5">
    <w:name w:val="Title Char"/>
    <w:basedOn w:val="750"/>
    <w:link w:val="773"/>
    <w:uiPriority w:val="10"/>
    <w:rPr>
      <w:sz w:val="48"/>
      <w:szCs w:val="48"/>
    </w:rPr>
  </w:style>
  <w:style w:type="character" w:styleId="37">
    <w:name w:val="Subtitle Char"/>
    <w:basedOn w:val="750"/>
    <w:link w:val="775"/>
    <w:uiPriority w:val="11"/>
    <w:rPr>
      <w:sz w:val="24"/>
      <w:szCs w:val="24"/>
    </w:rPr>
  </w:style>
  <w:style w:type="character" w:styleId="39">
    <w:name w:val="Quote Char"/>
    <w:link w:val="777"/>
    <w:uiPriority w:val="29"/>
    <w:rPr>
      <w:i/>
    </w:rPr>
  </w:style>
  <w:style w:type="character" w:styleId="41">
    <w:name w:val="Intense Quote Char"/>
    <w:link w:val="779"/>
    <w:uiPriority w:val="30"/>
    <w:rPr>
      <w:i/>
    </w:rPr>
  </w:style>
  <w:style w:type="character" w:styleId="176">
    <w:name w:val="Footnote Text Char"/>
    <w:link w:val="914"/>
    <w:uiPriority w:val="99"/>
    <w:rPr>
      <w:sz w:val="18"/>
    </w:rPr>
  </w:style>
  <w:style w:type="character" w:styleId="179">
    <w:name w:val="Endnote Text Char"/>
    <w:link w:val="917"/>
    <w:uiPriority w:val="99"/>
    <w:rPr>
      <w:sz w:val="20"/>
    </w:rPr>
  </w:style>
  <w:style w:type="paragraph" w:styleId="747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748">
    <w:name w:val="Heading 1"/>
    <w:basedOn w:val="747"/>
    <w:next w:val="747"/>
    <w:link w:val="931"/>
    <w:qFormat/>
    <w:pPr>
      <w:jc w:val="center"/>
      <w:keepNext/>
      <w:spacing w:after="0" w:line="240" w:lineRule="auto"/>
      <w:outlineLvl w:val="0"/>
    </w:pPr>
    <w:rPr>
      <w:rFonts w:ascii="Times New Roman" w:hAnsi="Times New Roman"/>
      <w:b/>
      <w:spacing w:val="20"/>
      <w:sz w:val="28"/>
      <w:szCs w:val="28"/>
    </w:rPr>
  </w:style>
  <w:style w:type="paragraph" w:styleId="749">
    <w:name w:val="Heading 2"/>
    <w:basedOn w:val="747"/>
    <w:next w:val="747"/>
    <w:link w:val="932"/>
    <w:qFormat/>
    <w:pPr>
      <w:jc w:val="center"/>
      <w:keepNext/>
      <w:spacing w:after="0" w:line="240" w:lineRule="auto"/>
      <w:outlineLvl w:val="1"/>
    </w:pPr>
    <w:rPr>
      <w:rFonts w:ascii="Times New Roman" w:hAnsi="Times New Roman"/>
      <w:b/>
      <w:sz w:val="32"/>
      <w:szCs w:val="36"/>
    </w:rPr>
  </w:style>
  <w:style w:type="character" w:styleId="750" w:default="1">
    <w:name w:val="Default Paragraph Font"/>
    <w:uiPriority w:val="1"/>
    <w:semiHidden/>
    <w:unhideWhenUsed/>
  </w:style>
  <w:style w:type="table" w:styleId="75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2" w:default="1">
    <w:name w:val="No List"/>
    <w:uiPriority w:val="99"/>
    <w:semiHidden/>
    <w:unhideWhenUsed/>
  </w:style>
  <w:style w:type="paragraph" w:styleId="753" w:customStyle="1">
    <w:name w:val="Heading 1"/>
    <w:basedOn w:val="747"/>
    <w:next w:val="747"/>
    <w:link w:val="75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styleId="754" w:customStyle="1">
    <w:name w:val="Heading 1 Char"/>
    <w:link w:val="753"/>
    <w:uiPriority w:val="9"/>
    <w:rPr>
      <w:rFonts w:ascii="Arial" w:hAnsi="Arial" w:eastAsia="Arial" w:cs="Arial"/>
      <w:sz w:val="40"/>
      <w:szCs w:val="40"/>
    </w:rPr>
  </w:style>
  <w:style w:type="paragraph" w:styleId="755" w:customStyle="1">
    <w:name w:val="Heading 2"/>
    <w:basedOn w:val="747"/>
    <w:next w:val="747"/>
    <w:link w:val="75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character" w:styleId="756" w:customStyle="1">
    <w:name w:val="Heading 2 Char"/>
    <w:link w:val="755"/>
    <w:uiPriority w:val="9"/>
    <w:rPr>
      <w:rFonts w:ascii="Arial" w:hAnsi="Arial" w:eastAsia="Arial" w:cs="Arial"/>
      <w:sz w:val="34"/>
    </w:rPr>
  </w:style>
  <w:style w:type="paragraph" w:styleId="757" w:customStyle="1">
    <w:name w:val="Heading 3"/>
    <w:basedOn w:val="747"/>
    <w:next w:val="747"/>
    <w:link w:val="75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758" w:customStyle="1">
    <w:name w:val="Heading 3 Char"/>
    <w:link w:val="757"/>
    <w:uiPriority w:val="9"/>
    <w:rPr>
      <w:rFonts w:ascii="Arial" w:hAnsi="Arial" w:eastAsia="Arial" w:cs="Arial"/>
      <w:sz w:val="30"/>
      <w:szCs w:val="30"/>
    </w:rPr>
  </w:style>
  <w:style w:type="paragraph" w:styleId="759" w:customStyle="1">
    <w:name w:val="Heading 4"/>
    <w:basedOn w:val="747"/>
    <w:next w:val="747"/>
    <w:link w:val="76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0" w:customStyle="1">
    <w:name w:val="Heading 4 Char"/>
    <w:link w:val="759"/>
    <w:uiPriority w:val="9"/>
    <w:rPr>
      <w:rFonts w:ascii="Arial" w:hAnsi="Arial" w:eastAsia="Arial" w:cs="Arial"/>
      <w:b/>
      <w:bCs/>
      <w:sz w:val="26"/>
      <w:szCs w:val="26"/>
    </w:rPr>
  </w:style>
  <w:style w:type="paragraph" w:styleId="761" w:customStyle="1">
    <w:name w:val="Heading 5"/>
    <w:basedOn w:val="747"/>
    <w:next w:val="747"/>
    <w:link w:val="762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2" w:customStyle="1">
    <w:name w:val="Heading 5 Char"/>
    <w:link w:val="761"/>
    <w:uiPriority w:val="9"/>
    <w:rPr>
      <w:rFonts w:ascii="Arial" w:hAnsi="Arial" w:eastAsia="Arial" w:cs="Arial"/>
      <w:b/>
      <w:bCs/>
      <w:sz w:val="24"/>
      <w:szCs w:val="24"/>
    </w:rPr>
  </w:style>
  <w:style w:type="paragraph" w:styleId="763" w:customStyle="1">
    <w:name w:val="Heading 6"/>
    <w:basedOn w:val="747"/>
    <w:next w:val="747"/>
    <w:link w:val="76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character" w:styleId="764" w:customStyle="1">
    <w:name w:val="Heading 6 Char"/>
    <w:link w:val="763"/>
    <w:uiPriority w:val="9"/>
    <w:rPr>
      <w:rFonts w:ascii="Arial" w:hAnsi="Arial" w:eastAsia="Arial" w:cs="Arial"/>
      <w:b/>
      <w:bCs/>
      <w:sz w:val="22"/>
      <w:szCs w:val="22"/>
    </w:rPr>
  </w:style>
  <w:style w:type="paragraph" w:styleId="765" w:customStyle="1">
    <w:name w:val="Heading 7"/>
    <w:basedOn w:val="747"/>
    <w:next w:val="747"/>
    <w:link w:val="76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766" w:customStyle="1">
    <w:name w:val="Heading 7 Char"/>
    <w:link w:val="7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7" w:customStyle="1">
    <w:name w:val="Heading 8"/>
    <w:basedOn w:val="747"/>
    <w:next w:val="747"/>
    <w:link w:val="76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character" w:styleId="768" w:customStyle="1">
    <w:name w:val="Heading 8 Char"/>
    <w:link w:val="767"/>
    <w:uiPriority w:val="9"/>
    <w:rPr>
      <w:rFonts w:ascii="Arial" w:hAnsi="Arial" w:eastAsia="Arial" w:cs="Arial"/>
      <w:i/>
      <w:iCs/>
      <w:sz w:val="22"/>
      <w:szCs w:val="22"/>
    </w:rPr>
  </w:style>
  <w:style w:type="paragraph" w:styleId="769" w:customStyle="1">
    <w:name w:val="Heading 9"/>
    <w:basedOn w:val="747"/>
    <w:next w:val="747"/>
    <w:link w:val="77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0" w:customStyle="1">
    <w:name w:val="Heading 9 Char"/>
    <w:link w:val="769"/>
    <w:uiPriority w:val="9"/>
    <w:rPr>
      <w:rFonts w:ascii="Arial" w:hAnsi="Arial" w:eastAsia="Arial" w:cs="Arial"/>
      <w:i/>
      <w:iCs/>
      <w:sz w:val="21"/>
      <w:szCs w:val="21"/>
    </w:rPr>
  </w:style>
  <w:style w:type="paragraph" w:styleId="771">
    <w:name w:val="List Paragraph"/>
    <w:basedOn w:val="747"/>
    <w:uiPriority w:val="34"/>
    <w:qFormat/>
    <w:pPr>
      <w:contextualSpacing/>
      <w:ind w:left="720"/>
    </w:pPr>
  </w:style>
  <w:style w:type="paragraph" w:styleId="772">
    <w:name w:val="No Spacing"/>
    <w:uiPriority w:val="1"/>
    <w:qFormat/>
  </w:style>
  <w:style w:type="paragraph" w:styleId="773">
    <w:name w:val="Title"/>
    <w:basedOn w:val="747"/>
    <w:next w:val="747"/>
    <w:link w:val="774"/>
    <w:uiPriority w:val="10"/>
    <w:qFormat/>
    <w:pPr>
      <w:contextualSpacing/>
      <w:spacing w:before="300"/>
    </w:pPr>
    <w:rPr>
      <w:sz w:val="48"/>
      <w:szCs w:val="48"/>
    </w:rPr>
  </w:style>
  <w:style w:type="character" w:styleId="774" w:customStyle="1">
    <w:name w:val="Название Знак"/>
    <w:link w:val="773"/>
    <w:uiPriority w:val="10"/>
    <w:rPr>
      <w:sz w:val="48"/>
      <w:szCs w:val="48"/>
    </w:rPr>
  </w:style>
  <w:style w:type="paragraph" w:styleId="775">
    <w:name w:val="Subtitle"/>
    <w:basedOn w:val="747"/>
    <w:next w:val="747"/>
    <w:link w:val="776"/>
    <w:uiPriority w:val="11"/>
    <w:qFormat/>
    <w:pPr>
      <w:spacing w:before="200"/>
    </w:pPr>
    <w:rPr>
      <w:sz w:val="24"/>
      <w:szCs w:val="24"/>
    </w:rPr>
  </w:style>
  <w:style w:type="character" w:styleId="776" w:customStyle="1">
    <w:name w:val="Подзаголовок Знак"/>
    <w:link w:val="775"/>
    <w:uiPriority w:val="11"/>
    <w:rPr>
      <w:sz w:val="24"/>
      <w:szCs w:val="24"/>
    </w:rPr>
  </w:style>
  <w:style w:type="paragraph" w:styleId="777">
    <w:name w:val="Quote"/>
    <w:basedOn w:val="747"/>
    <w:next w:val="747"/>
    <w:link w:val="778"/>
    <w:uiPriority w:val="29"/>
    <w:qFormat/>
    <w:pPr>
      <w:ind w:left="720" w:right="720"/>
    </w:pPr>
    <w:rPr>
      <w:i/>
    </w:rPr>
  </w:style>
  <w:style w:type="character" w:styleId="778" w:customStyle="1">
    <w:name w:val="Цитата 2 Знак"/>
    <w:link w:val="777"/>
    <w:uiPriority w:val="29"/>
    <w:rPr>
      <w:i/>
    </w:rPr>
  </w:style>
  <w:style w:type="paragraph" w:styleId="779">
    <w:name w:val="Intense Quote"/>
    <w:basedOn w:val="747"/>
    <w:next w:val="747"/>
    <w:link w:val="78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0" w:customStyle="1">
    <w:name w:val="Выделенная цитата Знак"/>
    <w:link w:val="779"/>
    <w:uiPriority w:val="30"/>
    <w:rPr>
      <w:i/>
    </w:rPr>
  </w:style>
  <w:style w:type="paragraph" w:styleId="781" w:customStyle="1">
    <w:name w:val="Header"/>
    <w:basedOn w:val="747"/>
    <w:link w:val="7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2" w:customStyle="1">
    <w:name w:val="Header Char"/>
    <w:link w:val="781"/>
    <w:uiPriority w:val="99"/>
  </w:style>
  <w:style w:type="paragraph" w:styleId="783" w:customStyle="1">
    <w:name w:val="Footer"/>
    <w:basedOn w:val="747"/>
    <w:link w:val="7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4" w:customStyle="1">
    <w:name w:val="Footer Char"/>
    <w:link w:val="783"/>
    <w:uiPriority w:val="99"/>
  </w:style>
  <w:style w:type="paragraph" w:styleId="785" w:customStyle="1">
    <w:name w:val="Caption"/>
    <w:basedOn w:val="747"/>
    <w:next w:val="747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86" w:customStyle="1">
    <w:name w:val="Caption Char"/>
    <w:link w:val="783"/>
    <w:uiPriority w:val="99"/>
  </w:style>
  <w:style w:type="table" w:styleId="787">
    <w:name w:val="Table Grid"/>
    <w:basedOn w:val="751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88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9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0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2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6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17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18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19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20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1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2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3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24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0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1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2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3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4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5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6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1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57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9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80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1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2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3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4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5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3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4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5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6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7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8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9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0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1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2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3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4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5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6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7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08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09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0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1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2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13">
    <w:name w:val="Hyperlink"/>
    <w:basedOn w:val="750"/>
    <w:uiPriority w:val="99"/>
    <w:semiHidden/>
    <w:unhideWhenUsed/>
    <w:rPr>
      <w:color w:val="0000ff"/>
      <w:u w:val="single"/>
    </w:rPr>
  </w:style>
  <w:style w:type="paragraph" w:styleId="914">
    <w:name w:val="footnote text"/>
    <w:basedOn w:val="747"/>
    <w:link w:val="915"/>
    <w:uiPriority w:val="99"/>
    <w:semiHidden/>
    <w:unhideWhenUsed/>
    <w:pPr>
      <w:spacing w:after="40" w:line="240" w:lineRule="auto"/>
    </w:pPr>
    <w:rPr>
      <w:sz w:val="18"/>
    </w:rPr>
  </w:style>
  <w:style w:type="character" w:styleId="915" w:customStyle="1">
    <w:name w:val="Текст сноски Знак"/>
    <w:link w:val="914"/>
    <w:uiPriority w:val="99"/>
    <w:rPr>
      <w:sz w:val="18"/>
    </w:rPr>
  </w:style>
  <w:style w:type="character" w:styleId="916">
    <w:name w:val="footnote reference"/>
    <w:uiPriority w:val="99"/>
    <w:unhideWhenUsed/>
    <w:rPr>
      <w:vertAlign w:val="superscript"/>
    </w:rPr>
  </w:style>
  <w:style w:type="paragraph" w:styleId="917">
    <w:name w:val="endnote text"/>
    <w:basedOn w:val="747"/>
    <w:link w:val="918"/>
    <w:uiPriority w:val="99"/>
    <w:semiHidden/>
    <w:unhideWhenUsed/>
    <w:pPr>
      <w:spacing w:after="0" w:line="240" w:lineRule="auto"/>
    </w:pPr>
    <w:rPr>
      <w:sz w:val="20"/>
    </w:rPr>
  </w:style>
  <w:style w:type="character" w:styleId="918" w:customStyle="1">
    <w:name w:val="Текст концевой сноски Знак"/>
    <w:link w:val="917"/>
    <w:uiPriority w:val="99"/>
    <w:rPr>
      <w:sz w:val="20"/>
    </w:rPr>
  </w:style>
  <w:style w:type="character" w:styleId="919">
    <w:name w:val="endnote reference"/>
    <w:uiPriority w:val="99"/>
    <w:semiHidden/>
    <w:unhideWhenUsed/>
    <w:rPr>
      <w:vertAlign w:val="superscript"/>
    </w:rPr>
  </w:style>
  <w:style w:type="paragraph" w:styleId="920">
    <w:name w:val="toc 1"/>
    <w:basedOn w:val="747"/>
    <w:next w:val="747"/>
    <w:uiPriority w:val="39"/>
    <w:unhideWhenUsed/>
    <w:pPr>
      <w:spacing w:after="57"/>
    </w:pPr>
  </w:style>
  <w:style w:type="paragraph" w:styleId="921">
    <w:name w:val="toc 2"/>
    <w:basedOn w:val="747"/>
    <w:next w:val="747"/>
    <w:uiPriority w:val="39"/>
    <w:unhideWhenUsed/>
    <w:pPr>
      <w:ind w:left="283"/>
      <w:spacing w:after="57"/>
    </w:pPr>
  </w:style>
  <w:style w:type="paragraph" w:styleId="922">
    <w:name w:val="toc 3"/>
    <w:basedOn w:val="747"/>
    <w:next w:val="747"/>
    <w:uiPriority w:val="39"/>
    <w:unhideWhenUsed/>
    <w:pPr>
      <w:ind w:left="567"/>
      <w:spacing w:after="57"/>
    </w:pPr>
  </w:style>
  <w:style w:type="paragraph" w:styleId="923">
    <w:name w:val="toc 4"/>
    <w:basedOn w:val="747"/>
    <w:next w:val="747"/>
    <w:uiPriority w:val="39"/>
    <w:unhideWhenUsed/>
    <w:pPr>
      <w:ind w:left="850"/>
      <w:spacing w:after="57"/>
    </w:pPr>
  </w:style>
  <w:style w:type="paragraph" w:styleId="924">
    <w:name w:val="toc 5"/>
    <w:basedOn w:val="747"/>
    <w:next w:val="747"/>
    <w:uiPriority w:val="39"/>
    <w:unhideWhenUsed/>
    <w:pPr>
      <w:ind w:left="1134"/>
      <w:spacing w:after="57"/>
    </w:pPr>
  </w:style>
  <w:style w:type="paragraph" w:styleId="925">
    <w:name w:val="toc 6"/>
    <w:basedOn w:val="747"/>
    <w:next w:val="747"/>
    <w:uiPriority w:val="39"/>
    <w:unhideWhenUsed/>
    <w:pPr>
      <w:ind w:left="1417"/>
      <w:spacing w:after="57"/>
    </w:pPr>
  </w:style>
  <w:style w:type="paragraph" w:styleId="926">
    <w:name w:val="toc 7"/>
    <w:basedOn w:val="747"/>
    <w:next w:val="747"/>
    <w:uiPriority w:val="39"/>
    <w:unhideWhenUsed/>
    <w:pPr>
      <w:ind w:left="1701"/>
      <w:spacing w:after="57"/>
    </w:pPr>
  </w:style>
  <w:style w:type="paragraph" w:styleId="927">
    <w:name w:val="toc 8"/>
    <w:basedOn w:val="747"/>
    <w:next w:val="747"/>
    <w:uiPriority w:val="39"/>
    <w:unhideWhenUsed/>
    <w:pPr>
      <w:ind w:left="1984"/>
      <w:spacing w:after="57"/>
    </w:pPr>
  </w:style>
  <w:style w:type="paragraph" w:styleId="928">
    <w:name w:val="toc 9"/>
    <w:basedOn w:val="747"/>
    <w:next w:val="747"/>
    <w:uiPriority w:val="39"/>
    <w:unhideWhenUsed/>
    <w:pPr>
      <w:ind w:left="2268"/>
      <w:spacing w:after="57"/>
    </w:pPr>
  </w:style>
  <w:style w:type="paragraph" w:styleId="929">
    <w:name w:val="TOC Heading"/>
    <w:uiPriority w:val="39"/>
    <w:unhideWhenUsed/>
  </w:style>
  <w:style w:type="paragraph" w:styleId="930">
    <w:name w:val="table of figures"/>
    <w:basedOn w:val="747"/>
    <w:next w:val="747"/>
    <w:uiPriority w:val="99"/>
    <w:unhideWhenUsed/>
    <w:pPr>
      <w:spacing w:after="0"/>
    </w:pPr>
  </w:style>
  <w:style w:type="character" w:styleId="931" w:customStyle="1">
    <w:name w:val="Заголовок 1 Знак"/>
    <w:basedOn w:val="750"/>
    <w:link w:val="748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932" w:customStyle="1">
    <w:name w:val="Заголовок 2 Знак"/>
    <w:basedOn w:val="750"/>
    <w:link w:val="749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933">
    <w:name w:val="Balloon Text"/>
    <w:basedOn w:val="747"/>
    <w:link w:val="93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34" w:customStyle="1">
    <w:name w:val="Текст выноски Знак"/>
    <w:basedOn w:val="750"/>
    <w:link w:val="933"/>
    <w:uiPriority w:val="99"/>
    <w:semiHidden/>
    <w:rPr>
      <w:rFonts w:ascii="Tahoma" w:hAnsi="Tahoma" w:cs="Tahoma"/>
      <w:sz w:val="16"/>
      <w:szCs w:val="16"/>
    </w:rPr>
  </w:style>
  <w:style w:type="paragraph" w:styleId="935">
    <w:name w:val="Normal (Web)"/>
    <w:basedOn w:val="747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36">
    <w:name w:val="Strong"/>
    <w:basedOn w:val="750"/>
    <w:uiPriority w:val="22"/>
    <w:qFormat/>
    <w:rPr>
      <w:b/>
      <w:bCs/>
    </w:rPr>
  </w:style>
  <w:style w:type="paragraph" w:styleId="937">
    <w:name w:val="Header"/>
    <w:basedOn w:val="747"/>
    <w:link w:val="93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38" w:customStyle="1">
    <w:name w:val="Верхний колонтитул Знак"/>
    <w:basedOn w:val="750"/>
    <w:link w:val="937"/>
    <w:uiPriority w:val="99"/>
    <w:rPr>
      <w:sz w:val="22"/>
      <w:szCs w:val="22"/>
    </w:rPr>
  </w:style>
  <w:style w:type="paragraph" w:styleId="939">
    <w:name w:val="Footer"/>
    <w:basedOn w:val="747"/>
    <w:link w:val="940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40" w:customStyle="1">
    <w:name w:val="Нижний колонтитул Знак"/>
    <w:basedOn w:val="750"/>
    <w:link w:val="939"/>
    <w:uiPriority w:val="99"/>
    <w:semiHidden/>
    <w:rPr>
      <w:sz w:val="22"/>
      <w:szCs w:val="22"/>
    </w:rPr>
  </w:style>
  <w:style w:type="paragraph" w:styleId="941" w:customStyle="1">
    <w:name w:val="ConsPlusNormal"/>
    <w:rPr>
      <w:rFonts w:ascii="Times New Roman" w:hAnsi="Times New Roman"/>
      <w:sz w:val="28"/>
      <w:szCs w:val="28"/>
      <w:lang w:eastAsia="ru-RU"/>
    </w:rPr>
  </w:style>
  <w:style w:type="paragraph" w:styleId="942" w:customStyle="1">
    <w:name w:val="western"/>
    <w:pPr>
      <w:spacing w:before="100" w:beforeAutospacing="1" w:after="142" w:line="276" w:lineRule="auto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943" w:customStyle="1">
    <w:name w:val="ConsPlusTitle"/>
    <w:pPr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b/>
      <w:sz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image" Target="media/image1.png"/><Relationship Id="rId17" Type="http://schemas.openxmlformats.org/officeDocument/2006/relationships/hyperlink" Target="https://login.consultant.ru/link/?req=doc&amp;base=LAW&amp;n=374722&amp;date=08.10.2026" TargetMode="External"/><Relationship Id="rId18" Type="http://schemas.openxmlformats.org/officeDocument/2006/relationships/hyperlink" Target="https://login.consultant.ru/link/?req=doc&amp;base=RLAW426&amp;n=43354&amp;date=08.10.2026&amp;dst=100007&amp;field=134" TargetMode="External"/><Relationship Id="rId19" Type="http://schemas.openxmlformats.org/officeDocument/2006/relationships/hyperlink" Target="https://login.consultant.ru/link/?req=doc&amp;base=LAW&amp;n=374722&amp;date=08.10.2026&amp;dst=100093&amp;field=134" TargetMode="External"/><Relationship Id="rId20" Type="http://schemas.openxmlformats.org/officeDocument/2006/relationships/hyperlink" Target="https://login.consultant.ru/link/?req=doc&amp;base=LAW&amp;n=374722&amp;date=08.10.2026&amp;dst=100100&amp;field=134" TargetMode="External"/><Relationship Id="rId21" Type="http://schemas.openxmlformats.org/officeDocument/2006/relationships/hyperlink" Target="https://login.consultant.ru/link/?req=doc&amp;base=LAW&amp;n=374722&amp;date=08.10.2026&amp;dst=100093&amp;field=134" TargetMode="External"/><Relationship Id="rId22" Type="http://schemas.openxmlformats.org/officeDocument/2006/relationships/hyperlink" Target="https://login.consultant.ru/link/?req=doc&amp;base=LAW&amp;n=374722&amp;date=08.10.2026&amp;dst=100100&amp;field=134" TargetMode="External"/><Relationship Id="rId23" Type="http://schemas.openxmlformats.org/officeDocument/2006/relationships/hyperlink" Target="https://login.consultant.ru/link/?req=doc&amp;base=RLAW426&amp;n=92486&amp;date=08.10.2026&amp;dst=100192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Комитет образования ЕАО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4</cp:revision>
  <dcterms:created xsi:type="dcterms:W3CDTF">2026-10-08T01:48:00Z</dcterms:created>
  <dcterms:modified xsi:type="dcterms:W3CDTF">2026-10-09T00:29:56Z</dcterms:modified>
  <cp:version>786432</cp:version>
</cp:coreProperties>
</file>