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1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1660" cy="663575"/>
                <wp:effectExtent l="0" t="0" r="0" b="0"/>
                <wp:docPr id="1" name="Изображение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Изображение1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81660" cy="663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.80pt;height:52.25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65"/>
        <w:rPr>
          <w:szCs w:val="28"/>
        </w:rPr>
      </w:pPr>
      <w:r>
        <w:rPr>
          <w:szCs w:val="28"/>
        </w:rPr>
        <w:t xml:space="preserve">ДЕПАРТАМЕНТ ОБРАЗОВАНИЯ</w:t>
      </w:r>
      <w:r>
        <w:rPr>
          <w:szCs w:val="28"/>
        </w:rPr>
      </w:r>
      <w:r>
        <w:rPr>
          <w:szCs w:val="28"/>
        </w:rPr>
      </w:r>
    </w:p>
    <w:p>
      <w:pPr>
        <w:pStyle w:val="865"/>
        <w:rPr>
          <w:caps/>
          <w:szCs w:val="28"/>
        </w:rPr>
      </w:pPr>
      <w:r>
        <w:rPr>
          <w:caps/>
          <w:szCs w:val="28"/>
        </w:rPr>
        <w:t xml:space="preserve">Еврейской автономной области</w:t>
      </w:r>
      <w:r>
        <w:rPr>
          <w:caps/>
          <w:szCs w:val="28"/>
        </w:rPr>
      </w:r>
      <w:r>
        <w:rPr>
          <w:caps/>
          <w:szCs w:val="28"/>
        </w:rPr>
      </w:r>
    </w:p>
    <w:p>
      <w:pPr>
        <w:pStyle w:val="81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2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ПРИКАЗ</w:t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pStyle w:val="81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9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___________</w:t>
      </w:r>
      <w:r>
        <w:rPr>
          <w:sz w:val="28"/>
          <w:szCs w:val="28"/>
        </w:rPr>
        <w:t xml:space="preserve">                                 </w:t>
        <w:tab/>
        <w:t xml:space="preserve">                                                              № </w:t>
      </w:r>
      <w:r>
        <w:rPr>
          <w:sz w:val="28"/>
          <w:szCs w:val="28"/>
          <w:lang w:val="en-US"/>
        </w:rPr>
        <w:t xml:space="preserve">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Биробиджан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9"/>
        <w:rPr>
          <w:b/>
          <w:bCs/>
          <w:szCs w:val="28"/>
        </w:rPr>
      </w:pPr>
      <w:r>
        <w:rPr>
          <w:b/>
          <w:bCs/>
          <w:szCs w:val="28"/>
        </w:rPr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pStyle w:val="889"/>
        <w:ind w:firstLine="0"/>
        <w:rPr>
          <w:bCs/>
          <w:color w:val="000000"/>
          <w:highlight w:val="white"/>
        </w:rPr>
      </w:pPr>
      <w:r>
        <w:rPr>
          <w:bCs/>
          <w:color w:val="000000"/>
          <w:shd w:val="clear" w:color="auto" w:fill="ffffff"/>
        </w:rPr>
      </w:r>
      <w:r>
        <w:rPr>
          <w:bCs/>
          <w:color w:val="000000"/>
          <w:highlight w:val="white"/>
        </w:rPr>
      </w:r>
      <w:r>
        <w:rPr>
          <w:bCs/>
          <w:color w:val="000000"/>
          <w:highlight w:val="white"/>
        </w:rPr>
      </w:r>
    </w:p>
    <w:p>
      <w:pPr>
        <w:pStyle w:val="889"/>
        <w:ind w:firstLine="0"/>
        <w:rPr>
          <w:szCs w:val="28"/>
        </w:rPr>
      </w:pPr>
      <w:r>
        <w:rPr>
          <w:bCs/>
          <w:szCs w:val="28"/>
        </w:rPr>
        <w:t xml:space="preserve">О внесении изменений в состав комиссии </w:t>
      </w:r>
      <w:r>
        <w:rPr>
          <w:bCs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sz w:val="28"/>
          <w:szCs w:val="28"/>
        </w:rPr>
        <w:t xml:space="preserve">по соблюдению требований к служебному поведению</w:t>
      </w:r>
      <w:r>
        <w:rPr>
          <w:rFonts w:ascii="Times New Roman" w:hAnsi="Times New Roman" w:cs="Times New Roman"/>
          <w:b w:val="0"/>
          <w:bCs w:val="0"/>
          <w:i w:val="0"/>
          <w:strike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sz w:val="28"/>
          <w:szCs w:val="28"/>
        </w:rPr>
        <w:t xml:space="preserve">государственных гражданских служащих Еврейской автономной области, назначение на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sz w:val="28"/>
          <w:szCs w:val="28"/>
        </w:rPr>
        <w:t xml:space="preserve"> должность и освобождение от должности которых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sz w:val="28"/>
          <w:szCs w:val="28"/>
        </w:rPr>
        <w:t xml:space="preserve"> осуществляет начальник департамента образования Еврейской автономной области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sz w:val="28"/>
          <w:szCs w:val="28"/>
        </w:rPr>
        <w:t xml:space="preserve">, и урегулированию конфликта интересов</w:t>
      </w:r>
      <w:r/>
      <w:r>
        <w:rPr>
          <w:bCs/>
          <w:sz w:val="28"/>
          <w:szCs w:val="28"/>
        </w:rPr>
      </w:r>
      <w:r>
        <w:rPr>
          <w:bCs/>
          <w:szCs w:val="28"/>
        </w:rPr>
        <w:t xml:space="preserve">, утвержденный приказом департамента образования Еврейской автономной области от 18.08.2025 № 333 «О комиссии по проведению конкурса на присуждение премий лучшим учителям Еврейской автономной области </w:t>
      </w:r>
      <w:r>
        <w:rPr>
          <w:szCs w:val="28"/>
        </w:rPr>
        <w:t xml:space="preserve">за достижения в педагогической деятельности»</w:t>
      </w:r>
      <w:r>
        <w:rPr>
          <w:szCs w:val="28"/>
        </w:rPr>
      </w:r>
      <w:r>
        <w:rPr>
          <w:szCs w:val="28"/>
        </w:rPr>
      </w:r>
    </w:p>
    <w:p>
      <w:pPr>
        <w:pStyle w:val="889"/>
        <w:ind w:firstLine="0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1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ПРИКАЗЫВАЮ: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892"/>
        <w:numPr>
          <w:ilvl w:val="0"/>
          <w:numId w:val="1"/>
        </w:numPr>
        <w:ind w:left="0" w:firstLine="709"/>
        <w:jc w:val="both"/>
        <w:spacing w:before="0" w:after="0"/>
        <w:tabs>
          <w:tab w:val="left" w:pos="0" w:leader="none"/>
          <w:tab w:val="clear" w:pos="708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 Внести в состав комиссии </w:t>
      </w:r>
      <w:r>
        <w:rPr>
          <w:bCs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sz w:val="28"/>
          <w:szCs w:val="28"/>
        </w:rPr>
        <w:t xml:space="preserve">по соблюдению требований к служебному поведению</w:t>
      </w:r>
      <w:r>
        <w:rPr>
          <w:rFonts w:ascii="Times New Roman" w:hAnsi="Times New Roman" w:cs="Times New Roman"/>
          <w:b w:val="0"/>
          <w:bCs w:val="0"/>
          <w:i w:val="0"/>
          <w:strike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sz w:val="28"/>
          <w:szCs w:val="28"/>
        </w:rPr>
        <w:t xml:space="preserve">государственных гражданских служащих Еврейской автономной области, назначение на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sz w:val="28"/>
          <w:szCs w:val="28"/>
        </w:rPr>
        <w:t xml:space="preserve"> должность и освобождение от должности которых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sz w:val="28"/>
          <w:szCs w:val="28"/>
        </w:rPr>
        <w:t xml:space="preserve"> осуществляет начальник департамента образования Еврейской автономной области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sz w:val="28"/>
          <w:szCs w:val="28"/>
        </w:rPr>
        <w:t xml:space="preserve">, и урегулированию конфликта интересов</w:t>
      </w:r>
      <w:r/>
      <w:r>
        <w:rPr>
          <w:sz w:val="28"/>
          <w:szCs w:val="28"/>
        </w:rPr>
      </w:r>
      <w:r>
        <w:rPr>
          <w:sz w:val="28"/>
          <w:szCs w:val="28"/>
        </w:rPr>
        <w:t xml:space="preserve"> следующее </w:t>
      </w:r>
      <w:r>
        <w:rPr>
          <w:sz w:val="28"/>
          <w:szCs w:val="28"/>
        </w:rPr>
        <w:t xml:space="preserve">изменение: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ind w:left="0" w:right="0" w:firstLine="720"/>
        <w:jc w:val="both"/>
        <w:spacing w:before="0" w:after="0"/>
        <w:tabs>
          <w:tab w:val="left" w:pos="0" w:leader="none"/>
          <w:tab w:val="clear" w:pos="708" w:leader="none"/>
          <w:tab w:val="left" w:pos="993" w:leader="none"/>
        </w:tabs>
        <w:suppressLineNumbers w:val="0"/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включить в состав комиссии </w:t>
      </w:r>
      <w:r>
        <w:rPr>
          <w:sz w:val="28"/>
          <w:szCs w:val="28"/>
        </w:rPr>
        <w:t xml:space="preserve">Хабуда Евгению Сергеевну – старшего преподавателя кафедры права ФГБОУ ВО «Приамурский государственный университет имени Шолом-Алейхема»</w:t>
      </w:r>
      <w:r>
        <w:rPr>
          <w:sz w:val="28"/>
          <w:szCs w:val="28"/>
        </w:rPr>
        <w:t xml:space="preserve">.</w:t>
      </w:r>
      <w:r/>
    </w:p>
    <w:p>
      <w:pPr>
        <w:pStyle w:val="892"/>
        <w:ind w:left="0" w:right="0" w:firstLine="720"/>
        <w:jc w:val="both"/>
        <w:spacing w:before="0" w:after="0"/>
        <w:tabs>
          <w:tab w:val="clear" w:pos="708" w:leader="none"/>
          <w:tab w:val="left" w:pos="993" w:leader="none"/>
        </w:tabs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  <w:highlight w:val="none"/>
          <w:lang w:val="ru-RU"/>
        </w:rPr>
        <w:t xml:space="preserve">2</w:t>
      </w:r>
      <w:r>
        <w:rPr>
          <w:sz w:val="28"/>
          <w:szCs w:val="28"/>
          <w:highlight w:val="none"/>
          <w:lang w:val="ru-RU"/>
        </w:rPr>
        <w:t xml:space="preserve">. </w:t>
      </w:r>
      <w:r>
        <w:rPr>
          <w:sz w:val="28"/>
          <w:szCs w:val="28"/>
        </w:rPr>
        <w:t xml:space="preserve">Контроль за исполнением настоящего приказа оставляю за собой.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2"/>
        <w:ind w:left="0" w:right="0" w:firstLine="720"/>
        <w:jc w:val="both"/>
        <w:spacing w:before="0" w:after="0"/>
        <w:tabs>
          <w:tab w:val="clear" w:pos="708" w:leader="none"/>
          <w:tab w:val="left" w:pos="993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  <w:lang w:val="en-US"/>
        </w:rPr>
      </w:r>
      <w:r>
        <w:rPr>
          <w:sz w:val="28"/>
          <w:szCs w:val="28"/>
          <w:highlight w:val="none"/>
          <w:lang w:val="ru-RU"/>
        </w:rPr>
        <w:t xml:space="preserve">3. Настоящий приказ вступает  в силу со дня его подписания.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9"/>
        <w:rPr>
          <w:bCs/>
          <w:szCs w:val="28"/>
        </w:rPr>
      </w:pPr>
      <w:r>
        <w:rPr>
          <w:bCs/>
          <w:szCs w:val="28"/>
        </w:rPr>
      </w:r>
      <w:r>
        <w:rPr>
          <w:bCs/>
          <w:szCs w:val="28"/>
        </w:rPr>
      </w:r>
      <w:r>
        <w:rPr>
          <w:bCs/>
          <w:szCs w:val="28"/>
        </w:rPr>
      </w:r>
    </w:p>
    <w:p>
      <w:pPr>
        <w:pStyle w:val="889"/>
        <w:rPr>
          <w:bCs/>
          <w:szCs w:val="28"/>
        </w:rPr>
      </w:pPr>
      <w:r>
        <w:rPr>
          <w:bCs/>
          <w:szCs w:val="28"/>
        </w:rPr>
      </w:r>
      <w:r>
        <w:rPr>
          <w:bCs/>
          <w:szCs w:val="28"/>
        </w:rPr>
      </w:r>
      <w:r>
        <w:rPr>
          <w:bCs/>
          <w:szCs w:val="28"/>
        </w:rPr>
      </w:r>
    </w:p>
    <w:p>
      <w:pPr>
        <w:pStyle w:val="889"/>
        <w:rPr>
          <w:bCs/>
          <w:szCs w:val="28"/>
        </w:rPr>
      </w:pPr>
      <w:r>
        <w:rPr>
          <w:bCs/>
          <w:szCs w:val="28"/>
        </w:rPr>
      </w:r>
      <w:r>
        <w:rPr>
          <w:bCs/>
          <w:szCs w:val="28"/>
        </w:rPr>
      </w:r>
      <w:r>
        <w:rPr>
          <w:bCs/>
          <w:szCs w:val="28"/>
        </w:rPr>
      </w:r>
    </w:p>
    <w:p>
      <w:pPr>
        <w:pStyle w:val="889"/>
        <w:ind w:firstLine="0"/>
        <w:jc w:val="left"/>
        <w:tabs>
          <w:tab w:val="left" w:pos="7937" w:leader="none"/>
        </w:tabs>
        <w:rPr>
          <w:bCs/>
          <w:szCs w:val="28"/>
        </w:rPr>
      </w:pPr>
      <w:r>
        <w:rPr>
          <w:bCs/>
          <w:szCs w:val="28"/>
        </w:rPr>
        <w:t xml:space="preserve">Начальник департамента </w:t>
        <w:tab/>
        <w:t xml:space="preserve">А.Я. Бялик</w:t>
      </w:r>
      <w:r>
        <w:rPr>
          <w:bCs/>
          <w:szCs w:val="28"/>
        </w:rPr>
      </w:r>
      <w:r>
        <w:rPr>
          <w:bCs/>
          <w:szCs w:val="28"/>
        </w:rPr>
      </w:r>
    </w:p>
    <w:p>
      <w:r>
        <w:rPr>
          <w:highlight w:val="none"/>
        </w:rPr>
      </w:r>
      <w:r>
        <w:rPr>
          <w:highlight w:val="none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134" w:right="850" w:bottom="1134" w:left="1701" w:header="720" w:footer="0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Noto Sans CJK SC">
    <w:panose1 w:val="020B0502040504020204"/>
  </w:font>
  <w:font w:name="Tahoma">
    <w:panose1 w:val="020B0604030504040204"/>
  </w:font>
  <w:font w:name="Arial">
    <w:panose1 w:val="020B0604020202020204"/>
  </w:font>
  <w:font w:name="Liberation Sans">
    <w:panose1 w:val="020B0604020202020204"/>
  </w:font>
  <w:font w:name="Noto Serif CJK SC">
    <w:panose1 w:val="020B0502040504020204"/>
  </w:font>
  <w:font w:name="Lohit Devanagari">
    <w:panose1 w:val="02000603000000000000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4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2</w:t>
    </w:r>
    <w:r>
      <w:fldChar w:fldCharType="end"/>
    </w:r>
    <w:r/>
  </w:p>
  <w:p>
    <w:pPr>
      <w:pStyle w:val="87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4"/>
      <w:jc w:val="right"/>
    </w:pPr>
    <w:r>
      <w:t xml:space="preserve">Проект</w: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928" w:leader="none"/>
        </w:tabs>
      </w:pPr>
    </w:lvl>
    <w:lvl w:ilvl="1">
      <w:start w:val="1"/>
      <w:numFmt w:val="bullet"/>
      <w:isLgl w:val="false"/>
      <w:suff w:val="tab"/>
      <w:lvlText w:val=""/>
      <w:lvlJc w:val="left"/>
      <w:pPr>
        <w:ind w:left="4418" w:hanging="360"/>
        <w:tabs>
          <w:tab w:val="num" w:pos="4418" w:leader="none"/>
        </w:tabs>
      </w:pPr>
      <w:rPr>
        <w:rFonts w:hint="default" w:ascii="Symbol" w:hAnsi="Symbol" w:cs="Symbol"/>
      </w:rPr>
    </w:lvl>
    <w:lvl w:ilvl="2">
      <w:start w:val="1"/>
      <w:numFmt w:val="lowerRoman"/>
      <w:isLgl w:val="false"/>
      <w:suff w:val="tab"/>
      <w:lvlText w:val="%3."/>
      <w:lvlJc w:val="right"/>
      <w:pPr>
        <w:ind w:left="5138" w:hanging="180"/>
        <w:tabs>
          <w:tab w:val="num" w:pos="513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5858" w:hanging="360"/>
        <w:tabs>
          <w:tab w:val="num" w:pos="585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6578" w:hanging="360"/>
        <w:tabs>
          <w:tab w:val="num" w:pos="657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7298" w:hanging="180"/>
        <w:tabs>
          <w:tab w:val="num" w:pos="729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8018" w:hanging="360"/>
        <w:tabs>
          <w:tab w:val="num" w:pos="801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8738" w:hanging="360"/>
        <w:tabs>
          <w:tab w:val="num" w:pos="873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9458" w:hanging="180"/>
        <w:tabs>
          <w:tab w:val="num" w:pos="9458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928" w:leader="none"/>
        </w:tabs>
      </w:pPr>
    </w:lvl>
    <w:lvl w:ilvl="1">
      <w:start w:val="1"/>
      <w:numFmt w:val="bullet"/>
      <w:isLgl w:val="false"/>
      <w:suff w:val="tab"/>
      <w:lvlText w:val=""/>
      <w:lvlJc w:val="left"/>
      <w:pPr>
        <w:ind w:left="4418" w:hanging="360"/>
        <w:tabs>
          <w:tab w:val="num" w:pos="4418" w:leader="none"/>
        </w:tabs>
      </w:pPr>
      <w:rPr>
        <w:rFonts w:hint="default" w:ascii="Symbol" w:hAnsi="Symbol" w:cs="Symbol"/>
      </w:rPr>
    </w:lvl>
    <w:lvl w:ilvl="2">
      <w:start w:val="1"/>
      <w:numFmt w:val="lowerRoman"/>
      <w:isLgl w:val="false"/>
      <w:suff w:val="tab"/>
      <w:lvlText w:val="%3."/>
      <w:lvlJc w:val="right"/>
      <w:pPr>
        <w:ind w:left="5138" w:hanging="180"/>
        <w:tabs>
          <w:tab w:val="num" w:pos="513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5858" w:hanging="360"/>
        <w:tabs>
          <w:tab w:val="num" w:pos="585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6578" w:hanging="360"/>
        <w:tabs>
          <w:tab w:val="num" w:pos="657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7298" w:hanging="180"/>
        <w:tabs>
          <w:tab w:val="num" w:pos="729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8018" w:hanging="360"/>
        <w:tabs>
          <w:tab w:val="num" w:pos="801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8738" w:hanging="360"/>
        <w:tabs>
          <w:tab w:val="num" w:pos="873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9458" w:hanging="180"/>
        <w:tabs>
          <w:tab w:val="num" w:pos="9458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928" w:leader="none"/>
        </w:tabs>
      </w:pPr>
    </w:lvl>
    <w:lvl w:ilvl="1">
      <w:start w:val="1"/>
      <w:numFmt w:val="bullet"/>
      <w:isLgl w:val="false"/>
      <w:suff w:val="tab"/>
      <w:lvlText w:val=""/>
      <w:lvlJc w:val="left"/>
      <w:pPr>
        <w:ind w:left="4418" w:hanging="360"/>
        <w:tabs>
          <w:tab w:val="num" w:pos="4418" w:leader="none"/>
        </w:tabs>
      </w:pPr>
      <w:rPr>
        <w:rFonts w:hint="default" w:ascii="Symbol" w:hAnsi="Symbol" w:cs="Symbol"/>
      </w:rPr>
    </w:lvl>
    <w:lvl w:ilvl="2">
      <w:start w:val="1"/>
      <w:numFmt w:val="lowerRoman"/>
      <w:isLgl w:val="false"/>
      <w:suff w:val="tab"/>
      <w:lvlText w:val="%3."/>
      <w:lvlJc w:val="right"/>
      <w:pPr>
        <w:ind w:left="5138" w:hanging="180"/>
        <w:tabs>
          <w:tab w:val="num" w:pos="513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5858" w:hanging="360"/>
        <w:tabs>
          <w:tab w:val="num" w:pos="585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6578" w:hanging="360"/>
        <w:tabs>
          <w:tab w:val="num" w:pos="657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7298" w:hanging="180"/>
        <w:tabs>
          <w:tab w:val="num" w:pos="729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8018" w:hanging="360"/>
        <w:tabs>
          <w:tab w:val="num" w:pos="801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8738" w:hanging="360"/>
        <w:tabs>
          <w:tab w:val="num" w:pos="873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9458" w:hanging="180"/>
        <w:tabs>
          <w:tab w:val="num" w:pos="9458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oto Serif CJK SC" w:cs="Lohit Devanaga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character" w:styleId="817">
    <w:name w:val="footnote reference"/>
    <w:basedOn w:val="861"/>
    <w:uiPriority w:val="99"/>
    <w:unhideWhenUsed/>
    <w:rPr>
      <w:vertAlign w:val="superscript"/>
    </w:rPr>
  </w:style>
  <w:style w:type="character" w:styleId="818">
    <w:name w:val="endnote reference"/>
    <w:basedOn w:val="861"/>
    <w:uiPriority w:val="99"/>
    <w:semiHidden/>
    <w:unhideWhenUsed/>
    <w:rPr>
      <w:vertAlign w:val="superscript"/>
    </w:rPr>
  </w:style>
  <w:style w:type="paragraph" w:styleId="819" w:default="1">
    <w:name w:val="Normal"/>
    <w:qFormat/>
    <w:pPr>
      <w:jc w:val="left"/>
      <w:spacing w:before="0" w:after="0"/>
      <w:widowControl/>
    </w:pPr>
    <w:rPr>
      <w:rFonts w:ascii="Times New Roman" w:hAnsi="Times New Roman" w:eastAsia="Noto Serif CJK SC" w:cs="Lohit Devanagari"/>
      <w:color w:val="auto"/>
      <w:sz w:val="24"/>
      <w:szCs w:val="24"/>
      <w:lang w:val="ru-RU" w:eastAsia="ru-RU" w:bidi="ar-SA"/>
    </w:rPr>
  </w:style>
  <w:style w:type="paragraph" w:styleId="820">
    <w:name w:val="Heading 1"/>
    <w:basedOn w:val="819"/>
    <w:qFormat/>
    <w:pPr>
      <w:keepNext/>
      <w:outlineLvl w:val="0"/>
    </w:pPr>
    <w:rPr>
      <w:sz w:val="28"/>
    </w:rPr>
  </w:style>
  <w:style w:type="paragraph" w:styleId="821">
    <w:name w:val="Heading 2"/>
    <w:basedOn w:val="81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22">
    <w:name w:val="Heading 3"/>
    <w:basedOn w:val="81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23">
    <w:name w:val="Heading 4"/>
    <w:basedOn w:val="819"/>
    <w:qFormat/>
    <w:pPr>
      <w:keepNext/>
      <w:outlineLvl w:val="3"/>
    </w:pPr>
    <w:rPr>
      <w:b/>
      <w:bCs/>
    </w:rPr>
  </w:style>
  <w:style w:type="paragraph" w:styleId="824">
    <w:name w:val="Heading 5"/>
    <w:basedOn w:val="81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25">
    <w:name w:val="Heading 6"/>
    <w:basedOn w:val="81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26">
    <w:name w:val="Heading 7"/>
    <w:basedOn w:val="81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27">
    <w:name w:val="Heading 8"/>
    <w:basedOn w:val="81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28">
    <w:name w:val="Heading 9"/>
    <w:basedOn w:val="81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29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830">
    <w:name w:val="Heading 2 Char"/>
    <w:uiPriority w:val="9"/>
    <w:qFormat/>
    <w:rPr>
      <w:rFonts w:ascii="Arial" w:hAnsi="Arial" w:eastAsia="Arial" w:cs="Arial"/>
      <w:sz w:val="34"/>
    </w:rPr>
  </w:style>
  <w:style w:type="character" w:styleId="831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832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33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34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35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36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37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38">
    <w:name w:val="Title Char"/>
    <w:uiPriority w:val="10"/>
    <w:qFormat/>
    <w:rPr>
      <w:sz w:val="48"/>
      <w:szCs w:val="48"/>
    </w:rPr>
  </w:style>
  <w:style w:type="character" w:styleId="839">
    <w:name w:val="Subtitle Char"/>
    <w:uiPriority w:val="11"/>
    <w:qFormat/>
    <w:rPr>
      <w:sz w:val="24"/>
      <w:szCs w:val="24"/>
    </w:rPr>
  </w:style>
  <w:style w:type="character" w:styleId="840">
    <w:name w:val="Quote Char"/>
    <w:uiPriority w:val="29"/>
    <w:qFormat/>
    <w:rPr>
      <w:i/>
    </w:rPr>
  </w:style>
  <w:style w:type="character" w:styleId="841">
    <w:name w:val="Intense Quote Char"/>
    <w:uiPriority w:val="30"/>
    <w:qFormat/>
    <w:rPr>
      <w:i/>
    </w:rPr>
  </w:style>
  <w:style w:type="character" w:styleId="842">
    <w:name w:val="Header Char"/>
    <w:uiPriority w:val="99"/>
    <w:qFormat/>
  </w:style>
  <w:style w:type="character" w:styleId="843">
    <w:name w:val="Footer Char"/>
    <w:uiPriority w:val="99"/>
    <w:qFormat/>
  </w:style>
  <w:style w:type="character" w:styleId="844">
    <w:name w:val="Caption Char"/>
    <w:uiPriority w:val="99"/>
    <w:qFormat/>
  </w:style>
  <w:style w:type="character" w:styleId="845">
    <w:name w:val="Интернет-ссылка"/>
    <w:uiPriority w:val="99"/>
    <w:unhideWhenUsed/>
    <w:rPr>
      <w:color w:val="0000ff" w:themeColor="hyperlink"/>
      <w:u w:val="single"/>
    </w:rPr>
  </w:style>
  <w:style w:type="character" w:styleId="846">
    <w:name w:val="Footnote Text Char"/>
    <w:uiPriority w:val="99"/>
    <w:qFormat/>
    <w:rPr>
      <w:sz w:val="18"/>
    </w:rPr>
  </w:style>
  <w:style w:type="character" w:styleId="847">
    <w:name w:val="Привязка сноски"/>
    <w:rPr>
      <w:vertAlign w:val="superscript"/>
    </w:rPr>
  </w:style>
  <w:style w:type="character" w:styleId="848">
    <w:name w:val="Footnote Characters"/>
    <w:uiPriority w:val="99"/>
    <w:unhideWhenUsed/>
    <w:qFormat/>
    <w:rPr>
      <w:vertAlign w:val="superscript"/>
    </w:rPr>
  </w:style>
  <w:style w:type="character" w:styleId="849">
    <w:name w:val="Endnote Text Char"/>
    <w:uiPriority w:val="99"/>
    <w:qFormat/>
    <w:rPr>
      <w:sz w:val="20"/>
    </w:rPr>
  </w:style>
  <w:style w:type="character" w:styleId="850">
    <w:name w:val="Привязка концевой сноски"/>
    <w:rPr>
      <w:vertAlign w:val="superscript"/>
    </w:rPr>
  </w:style>
  <w:style w:type="character" w:styleId="851">
    <w:name w:val="Endnote Characters"/>
    <w:uiPriority w:val="99"/>
    <w:semiHidden/>
    <w:unhideWhenUsed/>
    <w:qFormat/>
    <w:rPr>
      <w:vertAlign w:val="superscript"/>
    </w:rPr>
  </w:style>
  <w:style w:type="character" w:styleId="852">
    <w:name w:val="Основной шрифт абзаца"/>
    <w:semiHidden/>
    <w:qFormat/>
  </w:style>
  <w:style w:type="character" w:styleId="853">
    <w:name w:val="Текст выноски Знак"/>
    <w:qFormat/>
    <w:rPr>
      <w:rFonts w:ascii="Tahoma" w:hAnsi="Tahoma" w:cs="Tahoma"/>
      <w:sz w:val="16"/>
      <w:szCs w:val="16"/>
    </w:rPr>
  </w:style>
  <w:style w:type="character" w:styleId="854">
    <w:name w:val="Нижний колонтитул Знак"/>
    <w:qFormat/>
    <w:rPr>
      <w:sz w:val="24"/>
      <w:szCs w:val="24"/>
    </w:rPr>
  </w:style>
  <w:style w:type="character" w:styleId="855">
    <w:name w:val="Верхний колонтитул Знак"/>
    <w:uiPriority w:val="99"/>
    <w:qFormat/>
    <w:rPr>
      <w:sz w:val="28"/>
      <w:szCs w:val="28"/>
    </w:rPr>
  </w:style>
  <w:style w:type="character" w:styleId="856">
    <w:name w:val="Название Знак"/>
    <w:qFormat/>
    <w:rPr>
      <w:b/>
      <w:sz w:val="28"/>
    </w:rPr>
  </w:style>
  <w:style w:type="character" w:styleId="857">
    <w:name w:val="Строгий"/>
    <w:uiPriority w:val="22"/>
    <w:qFormat/>
    <w:rPr>
      <w:b/>
      <w:bCs/>
    </w:rPr>
  </w:style>
  <w:style w:type="character" w:styleId="858">
    <w:name w:val="Гиперссылка"/>
    <w:uiPriority w:val="99"/>
    <w:unhideWhenUsed/>
    <w:qFormat/>
    <w:rPr>
      <w:color w:val="0000ff"/>
      <w:u w:val="single"/>
    </w:rPr>
  </w:style>
  <w:style w:type="character" w:styleId="859">
    <w:name w:val="Основной текст Знак"/>
    <w:qFormat/>
    <w:rPr>
      <w:sz w:val="24"/>
      <w:szCs w:val="24"/>
    </w:rPr>
  </w:style>
  <w:style w:type="character" w:styleId="860">
    <w:name w:val="extendedtext-short"/>
    <w:qFormat/>
  </w:style>
  <w:style w:type="character" w:styleId="861" w:default="1">
    <w:name w:val="Default Paragraph Font"/>
    <w:uiPriority w:val="1"/>
    <w:semiHidden/>
    <w:unhideWhenUsed/>
    <w:qFormat/>
  </w:style>
  <w:style w:type="paragraph" w:styleId="862">
    <w:name w:val="Заголовок"/>
    <w:basedOn w:val="819"/>
    <w:next w:val="863"/>
    <w:qFormat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863">
    <w:name w:val="Body Text"/>
    <w:basedOn w:val="819"/>
    <w:pPr>
      <w:spacing w:before="0" w:after="120"/>
    </w:pPr>
  </w:style>
  <w:style w:type="paragraph" w:styleId="864">
    <w:name w:val="List"/>
    <w:basedOn w:val="863"/>
    <w:rPr>
      <w:rFonts w:cs="Lohit Devanagari"/>
    </w:rPr>
  </w:style>
  <w:style w:type="paragraph" w:styleId="865">
    <w:name w:val="Caption"/>
    <w:basedOn w:val="819"/>
    <w:link w:val="844"/>
    <w:qFormat/>
    <w:pPr>
      <w:jc w:val="center"/>
    </w:pPr>
    <w:rPr>
      <w:b/>
      <w:sz w:val="28"/>
      <w:szCs w:val="20"/>
    </w:rPr>
  </w:style>
  <w:style w:type="paragraph" w:styleId="866">
    <w:name w:val="Указатель"/>
    <w:basedOn w:val="819"/>
    <w:qFormat/>
    <w:pPr>
      <w:suppressLineNumbers/>
    </w:pPr>
    <w:rPr>
      <w:rFonts w:cs="Lohit Devanagari"/>
    </w:rPr>
  </w:style>
  <w:style w:type="paragraph" w:styleId="867">
    <w:name w:val="List Paragraph"/>
    <w:basedOn w:val="819"/>
    <w:uiPriority w:val="34"/>
    <w:qFormat/>
    <w:pPr>
      <w:contextualSpacing/>
      <w:ind w:left="720" w:firstLine="0"/>
      <w:spacing w:before="0" w:after="0"/>
    </w:pPr>
  </w:style>
  <w:style w:type="paragraph" w:styleId="868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Noto Serif CJK SC" w:cs="Lohit Devanagari"/>
      <w:color w:val="auto"/>
      <w:sz w:val="24"/>
      <w:szCs w:val="20"/>
      <w:lang w:val="ru-RU" w:eastAsia="zh-CN" w:bidi="ar-SA"/>
    </w:rPr>
  </w:style>
  <w:style w:type="paragraph" w:styleId="869">
    <w:name w:val="Title"/>
    <w:basedOn w:val="819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70">
    <w:name w:val="Subtitle"/>
    <w:basedOn w:val="819"/>
    <w:uiPriority w:val="11"/>
    <w:qFormat/>
    <w:pPr>
      <w:spacing w:before="200" w:after="200"/>
    </w:pPr>
    <w:rPr>
      <w:sz w:val="24"/>
      <w:szCs w:val="24"/>
    </w:rPr>
  </w:style>
  <w:style w:type="paragraph" w:styleId="871">
    <w:name w:val="Quote"/>
    <w:basedOn w:val="819"/>
    <w:uiPriority w:val="29"/>
    <w:qFormat/>
    <w:pPr>
      <w:ind w:left="720" w:right="720" w:firstLine="0"/>
    </w:pPr>
    <w:rPr>
      <w:i/>
    </w:rPr>
  </w:style>
  <w:style w:type="paragraph" w:styleId="872">
    <w:name w:val="Intense Quote"/>
    <w:basedOn w:val="819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73">
    <w:name w:val="Верхний и нижний колонтитулы"/>
    <w:basedOn w:val="819"/>
    <w:qFormat/>
  </w:style>
  <w:style w:type="paragraph" w:styleId="874">
    <w:name w:val="Header"/>
    <w:basedOn w:val="819"/>
    <w:uiPriority w:val="99"/>
    <w:pPr>
      <w:tabs>
        <w:tab w:val="clear" w:pos="708" w:leader="none"/>
        <w:tab w:val="center" w:pos="4677" w:leader="none"/>
        <w:tab w:val="right" w:pos="9355" w:leader="none"/>
      </w:tabs>
    </w:pPr>
    <w:rPr>
      <w:sz w:val="28"/>
      <w:szCs w:val="28"/>
    </w:rPr>
  </w:style>
  <w:style w:type="paragraph" w:styleId="875">
    <w:name w:val="Footer"/>
    <w:basedOn w:val="819"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76">
    <w:name w:val="footnote text"/>
    <w:basedOn w:val="819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77">
    <w:name w:val="endnote text"/>
    <w:basedOn w:val="819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78">
    <w:name w:val="toc 1"/>
    <w:basedOn w:val="819"/>
    <w:uiPriority w:val="39"/>
    <w:unhideWhenUsed/>
    <w:pPr>
      <w:ind w:left="0" w:right="0" w:firstLine="0"/>
      <w:spacing w:before="0" w:after="57"/>
    </w:pPr>
  </w:style>
  <w:style w:type="paragraph" w:styleId="879">
    <w:name w:val="toc 2"/>
    <w:basedOn w:val="819"/>
    <w:uiPriority w:val="39"/>
    <w:unhideWhenUsed/>
    <w:pPr>
      <w:ind w:left="283" w:right="0" w:firstLine="0"/>
      <w:spacing w:before="0" w:after="57"/>
    </w:pPr>
  </w:style>
  <w:style w:type="paragraph" w:styleId="880">
    <w:name w:val="toc 3"/>
    <w:basedOn w:val="819"/>
    <w:uiPriority w:val="39"/>
    <w:unhideWhenUsed/>
    <w:pPr>
      <w:ind w:left="567" w:right="0" w:firstLine="0"/>
      <w:spacing w:before="0" w:after="57"/>
    </w:pPr>
  </w:style>
  <w:style w:type="paragraph" w:styleId="881">
    <w:name w:val="toc 4"/>
    <w:basedOn w:val="819"/>
    <w:uiPriority w:val="39"/>
    <w:unhideWhenUsed/>
    <w:pPr>
      <w:ind w:left="850" w:right="0" w:firstLine="0"/>
      <w:spacing w:before="0" w:after="57"/>
    </w:pPr>
  </w:style>
  <w:style w:type="paragraph" w:styleId="882">
    <w:name w:val="toc 5"/>
    <w:basedOn w:val="819"/>
    <w:uiPriority w:val="39"/>
    <w:unhideWhenUsed/>
    <w:pPr>
      <w:ind w:left="1134" w:right="0" w:firstLine="0"/>
      <w:spacing w:before="0" w:after="57"/>
    </w:pPr>
  </w:style>
  <w:style w:type="paragraph" w:styleId="883">
    <w:name w:val="toc 6"/>
    <w:basedOn w:val="819"/>
    <w:uiPriority w:val="39"/>
    <w:unhideWhenUsed/>
    <w:pPr>
      <w:ind w:left="1417" w:right="0" w:firstLine="0"/>
      <w:spacing w:before="0" w:after="57"/>
    </w:pPr>
  </w:style>
  <w:style w:type="paragraph" w:styleId="884">
    <w:name w:val="toc 7"/>
    <w:basedOn w:val="819"/>
    <w:uiPriority w:val="39"/>
    <w:unhideWhenUsed/>
    <w:pPr>
      <w:ind w:left="1701" w:right="0" w:firstLine="0"/>
      <w:spacing w:before="0" w:after="57"/>
    </w:pPr>
  </w:style>
  <w:style w:type="paragraph" w:styleId="885">
    <w:name w:val="toc 8"/>
    <w:basedOn w:val="819"/>
    <w:uiPriority w:val="39"/>
    <w:unhideWhenUsed/>
    <w:pPr>
      <w:ind w:left="1984" w:right="0" w:firstLine="0"/>
      <w:spacing w:before="0" w:after="57"/>
    </w:pPr>
  </w:style>
  <w:style w:type="paragraph" w:styleId="886">
    <w:name w:val="toc 9"/>
    <w:basedOn w:val="819"/>
    <w:uiPriority w:val="39"/>
    <w:unhideWhenUsed/>
    <w:pPr>
      <w:ind w:left="2268" w:right="0" w:firstLine="0"/>
      <w:spacing w:before="0" w:after="57"/>
    </w:pPr>
  </w:style>
  <w:style w:type="paragraph" w:styleId="887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Noto Serif CJK SC" w:cs="Lohit Devanagari"/>
      <w:color w:val="auto"/>
      <w:sz w:val="24"/>
      <w:szCs w:val="20"/>
      <w:lang w:val="ru-RU" w:eastAsia="zh-CN" w:bidi="ar-SA"/>
    </w:rPr>
  </w:style>
  <w:style w:type="paragraph" w:styleId="888">
    <w:name w:val="table of figures"/>
    <w:basedOn w:val="819"/>
    <w:uiPriority w:val="99"/>
    <w:unhideWhenUsed/>
    <w:qFormat/>
    <w:pPr>
      <w:spacing w:before="0" w:after="0" w:afterAutospacing="0"/>
    </w:pPr>
  </w:style>
  <w:style w:type="paragraph" w:styleId="889">
    <w:name w:val="Body Text Indent"/>
    <w:basedOn w:val="819"/>
    <w:pPr>
      <w:ind w:firstLine="567"/>
      <w:jc w:val="both"/>
    </w:pPr>
    <w:rPr>
      <w:sz w:val="28"/>
      <w:szCs w:val="20"/>
    </w:rPr>
  </w:style>
  <w:style w:type="paragraph" w:styleId="890">
    <w:name w:val="Текст выноски"/>
    <w:basedOn w:val="819"/>
    <w:qFormat/>
    <w:rPr>
      <w:rFonts w:ascii="Tahoma" w:hAnsi="Tahoma" w:cs="Tahoma"/>
      <w:sz w:val="16"/>
      <w:szCs w:val="16"/>
    </w:rPr>
  </w:style>
  <w:style w:type="paragraph" w:styleId="891">
    <w:name w:val="Основной текст с отступом 2"/>
    <w:basedOn w:val="819"/>
    <w:qFormat/>
    <w:pPr>
      <w:ind w:left="283" w:firstLine="0"/>
      <w:spacing w:before="0" w:after="120" w:line="480" w:lineRule="auto"/>
    </w:pPr>
  </w:style>
  <w:style w:type="paragraph" w:styleId="892">
    <w:name w:val="Основной текст с отступом 3"/>
    <w:basedOn w:val="819"/>
    <w:qFormat/>
    <w:pPr>
      <w:ind w:left="283" w:firstLine="0"/>
      <w:spacing w:before="0" w:after="120"/>
    </w:pPr>
    <w:rPr>
      <w:sz w:val="16"/>
      <w:szCs w:val="16"/>
    </w:rPr>
  </w:style>
  <w:style w:type="paragraph" w:styleId="893">
    <w:name w:val="Заголовок1"/>
    <w:basedOn w:val="819"/>
    <w:qFormat/>
    <w:pPr>
      <w:jc w:val="center"/>
    </w:pPr>
    <w:rPr>
      <w:b/>
      <w:sz w:val="28"/>
      <w:szCs w:val="20"/>
      <w:lang w:val="en-US" w:eastAsia="zh-CN"/>
    </w:rPr>
  </w:style>
  <w:style w:type="numbering" w:styleId="894">
    <w:name w:val="Нет списка"/>
    <w:semiHidden/>
    <w:qFormat/>
  </w:style>
  <w:style w:type="numbering" w:styleId="895" w:default="1">
    <w:name w:val="No List"/>
    <w:uiPriority w:val="99"/>
    <w:semiHidden/>
    <w:unhideWhenUsed/>
    <w:qFormat/>
  </w:style>
  <w:style w:type="table" w:styleId="89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</dc:title>
  <dc:subject/>
  <dc:creator>Караваева</dc:creator>
  <dc:description/>
  <dc:language>ru-RU</dc:language>
  <cp:lastModifiedBy>obr_206-4</cp:lastModifiedBy>
  <cp:revision>87</cp:revision>
  <dcterms:created xsi:type="dcterms:W3CDTF">2022-04-14T03:38:00Z</dcterms:created>
  <dcterms:modified xsi:type="dcterms:W3CDTF">2025-10-17T02:06:02Z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version">
    <vt:lpwstr>1048576</vt:lpwstr>
  </property>
</Properties>
</file>