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firstLine="0"/>
        <w:jc w:val="lef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Документ предоставлен </w:t>
      </w:r>
      <w:hyperlink r:id="rId8" w:tooltip="https://www.consultant.ru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КонсультантПлюс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br/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ПРАВИТЕЛЬСТВО РОССИЙСКОЙ ФЕДЕРАЦИИ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РАСПОРЯЖЕНИЕ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от 19 ноября 2024 г. N 3333-р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1. Утвердить прилагаемый комплексный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план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мероприятий по повышению качества математического и естественно-научного образования на период до 2030 года (далее - план).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2. Федеральным органам исполнительной власти, ответственным за реализацию мероприятий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плана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осуществлять реализацию мероприятий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плана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в пределах бюджетных ассигнований, предусмотренных им в федеральном бюджете на соответствующий финансовый год;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ежегодно, до 1 февраля года, следующего за отчетным периодом, представлять в Минпросвещения России информацию о ходе реализации мероприятий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плана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3. Минпросвещения России ежегодно, до 1 марта года, следующего за отчетным периодом, представлять в Правительство Российской Федерации доклад о ходе реализации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плана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4. Рекомендовать исполнительным органам субъектов Российской Федерации обеспечить реализацию мероприятий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плана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руководствоваться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планом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при разработке региональных планов мероприятий по повышению качества математического и естественно-научного образования.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Председатель Правительства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Российской Федерации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М.МИШУСТИН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Утвержден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распоряжением Правительства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Российской Федерации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от 19 ноября 2024 г. N 3333-р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" w:name="Par26"/>
      <w:r>
        <w:rPr>
          <w:rFonts w:ascii="Times New Roman" w:hAnsi="Times New Roman" w:eastAsia="Times New Roman" w:cs="Times New Roman"/>
          <w:sz w:val="24"/>
          <w:szCs w:val="24"/>
        </w:rPr>
      </w:r>
      <w:bookmarkEnd w:id="1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КОМПЛЕКСНЫЙ ПЛАН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МЕРОПРИЯТИЙ ПО ПОВЫШЕНИЮ КАЧЕСТВА МАТЕМАТИЧЕСКОГО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И ЕСТЕСТВЕННО-НАУЧНОГО ОБРАЗОВАНИЯ НА ПЕРИОД ДО 2030 ГОДА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1. Задачи комплексного плана мероприятий по повышению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качества математического и естественно-научного образования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на период до 2030 года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Задачами комплексного плана мероприятий по </w:t>
      </w:r>
      <w:hyperlink r:id="rId9" w:tooltip="https://login.consultant.ru/link/?req=doc&amp;base=LAW&amp;n=470015&amp;dst=10035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повышению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качества математического и естественно-научного образования на период до 2030 года (далее - комплексный план) являются: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повышение качества преподавания математики и естественно-научных предметов в государственных и муниципальных общеобразовательных организациях;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повышение качества подготовки учителей математики и естественно-научных предметов;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устранение дефицита учителей математики и естественно-научных предметов в государственных и муниципальных общеобразовательных организациях.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2. Показатели реализации комплексного плана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52"/>
        <w:gridCol w:w="3905"/>
        <w:gridCol w:w="1435"/>
        <w:gridCol w:w="3215"/>
      </w:tblGrid>
      <w:tr>
        <w:tblPrEx/>
        <w:trPr>
          <w:jc w:val="left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457" w:type="dxa"/>
            <w:hMerge w:val="restart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Срок исполнения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Ответственные исполнители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</w:tcBorders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Увеличено не менее чем на 10 процентов ежегодно количество обучающихся по образовательным программам основного общего и среднего общего образования, изучающих математику и естественно-научные предметы углубленно или на профильном уровне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2024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Обеспечено повышение квалификации на базе ведущих классических, инженерно-технических образовательных организаций в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ысшего образования и научных организаций, в том числе в форме стажировок, работающих в системе общего и среднего профессионального образования не менее 10000 учителей (преподавателей) математики, физики, химии и биологии по преподаваемому учебному предмету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Обеспечено повышение квалификации в соотве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тствующей предметной области не менее 1000 преподавателей математических и естественно-научных дисциплин образовательных организаций высшего образования, реализующих образовательные программы высшего образования в области образования и педагогики,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Введено обязательное вступительное испытание по физике при приеме на все инженерные направления подготовки (специальности) высшего образования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2026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Введены обязательные вступительные испытания по профилям педагогической подготовки, в том числе по математике, физике, химии и биологии, при приеме на направления подготовки (специальности) высшего образования в области образования и педагогики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2027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Создано в каждом федеральном округе на базе передовых общеобразовательных организаций не менее 1 стажировочной площадки для практической подготовки студентов и дополнительного профессионального образования учителей математики, физики, химии и биологии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Обеспечена возможность получить бесплатно дополнительную педагогическую квалификацию всем студентам, обучающимся по образовательным программам высшего образования в области математики, естественных и инженерно-технических наук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образовательные организации высшего образования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Увеличена до 35 процентов доля выбравших единый государственный экзамен по профильной математике и естественно-научным предметам (химии, физике, информатике и биологии)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(по сравнению с 2023 годом)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2030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Рособрнадзор,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Увеличена до 30 процентов доля учителей математики, физики, химии и биологии в возрасте до 35 лет (по сравнению с 2023 годом)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2030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Borders>
              <w:bottom w:val="single" w:color="000000" w:sz="4" w:space="0"/>
            </w:tcBorders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Увеличено к 2030 году количество договоров о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 целевом обучении, заключенных выпускниками профильных психолого-педагогических классов (групп), поступившими на обучение по направлениям подготовки (специальностям) высшего образования в области образования, не менее чем в 3 раза по сравнению с 2024 годом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2024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2030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</w:tbl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3. Мероприятия комплексного плана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52"/>
        <w:gridCol w:w="3905"/>
        <w:gridCol w:w="1435"/>
        <w:gridCol w:w="3215"/>
      </w:tblGrid>
      <w:tr>
        <w:tblPrEx/>
        <w:trPr>
          <w:jc w:val="left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457" w:type="dxa"/>
            <w:hMerge w:val="restart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Срок исполнения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Ответственный исполнитель и соисполнители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gridSpan w:val="4"/>
            <w:tcBorders>
              <w:top w:val="single" w:color="000000" w:sz="4" w:space="0"/>
            </w:tcBorders>
            <w:tcW w:w="9107" w:type="dxa"/>
            <w:hMerge w:val="restart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I. Модернизация содержания учебных предметов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Обновление федеральных государственных образовательных стандартов и федеральных основных общеобразовательных программ в части учебных предметов "Окружающий мир", "Математика", "Физика", "Химия" и "Биология"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2026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Рособрнадзор,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наук",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образования"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Обновление федерального государственного образовательного стандарта дошкольного образования и федеральной образовательной программы дошкольного образования в части задач и содержания образовательной области "Познавательное развитие"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2027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Создание и наполнение национального открытого банка учебно-м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етодических материалов, сборников задач, дидактических материалов и книг по преподаванию математики, физики, химии и биологии, в том числе по подготовке к государственной итоговой аттестации, разработанных ведущими образовательными и научными организациями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2024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Создание новых учебников и учебно-методических пособий по математике, физике, химии и биологии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2027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наук",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образования"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gridSpan w:val="4"/>
            <w:tcW w:w="9107" w:type="dxa"/>
            <w:hMerge w:val="restart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II. Повышение качества подготовки учителей математики и естественно-научных предметов и устранение дефицита таких учителей в общеобразовательных организациях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Обновление федеральных государственных образовательных стандартов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высшего образования, относящихся к укрупненной группе специальностей и направлений подготовки 44.00.00 "Образование и педагогические науки", и единых подходов к структуре и содержанию подготовки педагогических кадров с учетом изменений в системе педагогиче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ского образования ("Ядро высшего педагогического образования", "Ядро среднего профессионального педагогического образования"), а также разработка и внедрение единых подходов к реализации практической подготовки в рамках программ педагогического образования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2026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наук",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образования"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Обеспечение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 создания на базе Образовательного Фонда "Талант и успех" и передовых общеобразовательных организаций стажировочных площадок для практической подготовки студентов и дополнительного профессионального образования учителей математики, физики, химии и биологии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Разработка и реализация программ повышения квалификации для педагогических работников дошкольного образования (воспитатели, педагоги-психологи и другие педагогические работники), начального общего образования и педагогов дополнительного образов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ания для формирования компетенций по эффективному преподаванию математики, развитию познавательной активности, экспериментированию у детей дошкольного и младшего школьного возраста, активизации их исследовательского опыта естественно-научной направленности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Разработка и реализация на базе классических и инженерно-технических образовательных организаций высшего образования программ повышения квалификации для учителей математики, физики, химии и биологии, педагогов допол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нительного образования, работающих в классах и группах с углубленным изучением химии, физики и биологии, в том числе на основе сетевого взаимодействия с педагогическими образовательными организациями высшего образования и общеобразовательными организациями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Разработка и реализация программ повышения квалификации для педагогических работников, преподающих математические и естест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венно-научные дисциплины в образовательных организациях высшего образования, реализующих образовательные программы высшего образования в области образования и педагогики, на базе ведущих образовательных организаций высшего образования и научных организаций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наук",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образования"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Организация работы по заключению договоров о целевом обучении по педагогическим специальностям и направлениям подготовки выпускниками профильных психолого-педаг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огических классов (групп), поступающими в образовательные организации высшего образования, реализующие образовательные программы высшего образования по укрупненной группе специальностей и направлений подготовки 44.00.00 "Образование и педагогические науки"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2030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Обеспечение подготовки студентов - будущи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х учителей математики, физики, химии и биологии на базе классических и инженерно-технических образовательных организаций высшего образования, в том числе на основе сетевого взаимодействия с педагогическими образовательными организациями высшего образования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год, 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Разработка методических рекомендаций, предусматривающих единый механизм формирования прогноза региональной и квалификационно-отраслевой потребности в педагогических кадрах для системы общего образования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Минтруд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Разработка (актуализация) и внедрение модуля, направленного на форми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рование готовности к осуществлению педагогической деятельности и получение дополнительной педагогической квалификации студентами, обучающимися по образовательным программам высшего образования в области математики, естественных и инженерно-технических наук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образовательные организации высшего образования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Подготовка предложений по формированию единой федеральной системы обратной связи с работодателями по итогам трудоустройства выпускников образовательн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ых организаций высшего образования, реализующих образовательные программы высшего образования по укрупненной группе специальностей и направлений подготовки 44.00.00 "Образование и педагогические науки" (до 5 лет после окончания образовательной организации)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2026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Минтруд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15.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Фор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мирование перечня научно-практических конференций и других аналогичных мероприятий, посвященных актуальным темам преподавания математики и естественно-научных предметов, информирование широкого круга педагогических работников о проведении таких мероприятий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2026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16.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Принятие дополнительных мер содействия в трудоустройстве в общеобразовательные организации выпускников образовательных организаций высшего образования, имеющих педагогическую квалификацию, в первый год после окончания образовательн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ой организации высшего образования, а также обеспечение координации органов служб занятости населения, общеобразовательных организаций и структурных подразделений образовательных организаций высшего образования, ответственных за трудоустройство выпускников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2026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Минтруд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17.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Проведение съездов учителей математики, физики, химии и биологии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2024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gridSpan w:val="4"/>
            <w:tcW w:w="9107" w:type="dxa"/>
            <w:hMerge w:val="restart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III. Содействие профессиональному самоопределению обучающихся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18.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Расширение сети профильных классов и классов с углубленным изучением математики, физики, химии и биологии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19.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Подготовка методических рекомендаций по организации взаимодействия образовательных организаций, реализующих образовательные программы основного общего, среднего общего, среднего профессионального и высшего образования, и предприятий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Совершенствование системы олимпиад школьников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наук"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21.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Организация и проведение специализированных профильных смен научной направленности в организациях отдыха детей и их оздоровления для обучающихся общеобразовательных организаций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"Федеральный центр организационно-методического обеспечения физического воспитания"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22.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Организация и проведение профориентационной работы математической, инженерной и естественно-научной направленности с обучающимися на базе современных промышленных предприятий, образовательных организаций высшего образ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ования и научных организаций, включающей также мероприятия по популяризации педагогической профессии, проведение образовательных экскурсий на указанные предприятия и в научные организации, реализация профильных образовательно-туристских проектов и программ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Росмолодежь,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Общероссийское общественно-государственное движение детей и молодежи "Движение первых",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Общероссийская общественно-государственная просветительская организация "Российское общество "Знание",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автономная некоммерческая организация "Национальные приоритеты",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иные заинтересованные организации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23.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Включение в циклы внеурочных занятий "Разговоры о важном" и "Россия - мои горизонты" тем, посвященных популяризации математики и естественно-научных предметов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24.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пуляризация в информационном пространстве математического и естественно-научного образования среди широких слоев населения, включающая издание серии научно-популярной литературы, проведение выставок, создание видеоконтента и привлечение популярных блогеров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2024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Росмолодежь,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автономная некоммерческая организация "Национальные приоритеты",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наук",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Общероссийская общественно-государственная просветительская организация "Российское общество "Знание",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автономная некоммерческая организация "Дирекция Выставки Достижений "Россия"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25.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Разработка дополнительных образовательных программ, направленных на популяризацию химии, преодоление хемофобии и развитие химической грамотности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2024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gridSpan w:val="4"/>
            <w:tcW w:w="9107" w:type="dxa"/>
            <w:hMerge w:val="restart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IV. Организация учебно-методического обеспечения преподавания математики и естественно-научных предметов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26.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Разработка ведущими образовательными организациями методических материалов для углубленного и профильного изучения математики, физики, химии и биологии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2024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наук"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27.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Разработка методических материалов для учебно-методических объединений по общему образованию и организаций дополнительного профессионального образования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28.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Проведение мониторинга создания и развития естественно-научной учебно-воспитательной среды, включая оформление естественно-научных пространств в общеобразовательных организациях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29.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Создание сценариев учебных заданий - интерактивных контекстных задач, лабораторных и практических работ по химии, физике и биологии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2024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30.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Проведение совместных научно-практических и образовательных мероприятий с ассоциациями учителей естественно-научных предметов с привлечением представителей профессионального и научного сообщества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gridSpan w:val="4"/>
            <w:tcW w:w="9107" w:type="dxa"/>
            <w:hMerge w:val="restart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V. Совершенствование системы управления качеством образования по учебным предметам "Математика", "Физика", "Химия" и "Биология"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31.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Разработка планов мероприятий по развитию математического и естественно-научного общего образования в субъектах 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32.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Разработка предложений по соверш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енствованию заданий государственной итоговой аттестации по образовательным программам основного общего и среднего общего образования по математике, физике, химии и биологии, включающих рекомендации по актуализации перечня отдельных тем и критериев проверки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2024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Рособрнадзор,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33.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Совершенствование системы государствен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ной итоговой аттестации по математике, физике, химии и биологии, включая разработку предложений по обязательной сдаче экзамена по физике, химии или биологии на выбор обучающегося, завершающего освоение образовательной программы основного общего образования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2027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Рособрнадзор,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наук"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34.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Проведение анализа качества преподавания и изучения математики, физики, химии и биологии в системе общего образования 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Рособрнадзор,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наук",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образования"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35.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Актуализация концепций преподавания математики, физики, химии и биологии на всех уровнях образования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наук",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образования"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gridSpan w:val="4"/>
            <w:tcW w:w="9107" w:type="dxa"/>
            <w:hMerge w:val="restart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VI. Совершенствование преподавания учебных предметов "Математика", "Физика", "Химия" и "Биология"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36.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Введение обязательного вступительного испытания по физике на все инженерные направления подготовки (специальности) высшего образования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2026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37.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Введение обязательных вступительных испытаний по профилям педагогической подготовки, в том числе по математике, физике, химии и биологии, при приеме на направления подготовки (специальности) высшего образования в области образования и педагогики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2027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38.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Оснащение общеобразовательных организаций и образовательных организаций высшего образования, в которых ведется подготовка и повышение квалификации учителей, современным учебно-лабораторным оборудованием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2025 - 2030 годы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Минпромторг России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gridSpan w:val="4"/>
            <w:tcW w:w="9107" w:type="dxa"/>
            <w:hMerge w:val="restart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VII. Иные мероприятия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39.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Информационное сопровождение реализации комплексного плана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2024 год,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Минпросвещения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blPrEx/>
        <w:trPr>
          <w:jc w:val="left"/>
        </w:trPr>
        <w:tc>
          <w:tcPr>
            <w:tcBorders>
              <w:bottom w:val="single" w:color="000000" w:sz="4" w:space="0"/>
            </w:tcBorders>
            <w:tcW w:w="55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40.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Подготовка и представление в Минпросвещения России информации о ходе реализации мероприятий комплексного плана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43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до 1 февраля 2025 г.,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далее - ежегодно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321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Минобрнауки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Рособрнадзор,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Росмолодежь,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Минпромторг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Минтруд России,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Образовательный Фонд "Талант и успех",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исполнительные органы субъектов Российской Федерации,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наук",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"Российская академия образования",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Общероссийское общественно-государственное движение детей и молодежи "Движение первых",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Общероссийская общественно-государственная просветительская организация "Российское общество "Знание",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автономная некоммерческая организация "Национальные приоритеты",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учреждение "Федеральный центр организационно-методического обеспечения физического воспитания",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автономная некоммерческая организация "Дирекция Выставки Достижений "Россия"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</w:tbl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100" w:after="10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  <w:pBdr>
          <w:top w:val="single" w:color="000000" w:sz="4" w:space="0"/>
        </w:pBd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sectPr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jc w:val="left"/>
      </w:pPr>
      <w:r>
        <w:separator/>
      </w:r>
      <w:r/>
    </w:p>
  </w:endnote>
  <w:endnote w:type="continuationSeparator" w:id="0">
    <w:p>
      <w:pPr>
        <w:jc w:val="left"/>
      </w:pPr>
      <w:r>
        <w: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jc w:val="left"/>
      </w:pPr>
      <w:r>
        <w:separator/>
      </w:r>
      <w:r/>
    </w:p>
  </w:footnote>
  <w:footnote w:type="continuationSeparator" w:id="0">
    <w:p>
      <w:pPr>
        <w:jc w:val="left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653" w:default="1">
    <w:name w:val="       ConsPlusNormal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16"/>
    </w:rPr>
  </w:style>
  <w:style w:type="paragraph" w:styleId="654">
    <w:name w:val="       ConsPlusNonforma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5">
    <w:name w:val="       ConsPlusTitle"/>
    <w:pPr>
      <w:jc w:val="left"/>
      <w:spacing w:before="0" w:after="0" w:line="240" w:lineRule="auto"/>
    </w:pPr>
    <w:rPr>
      <w:rFonts w:ascii="Arial" w:hAnsi="Arial" w:eastAsia="Arial" w:cs="Arial"/>
      <w:b/>
      <w:i w:val="0"/>
      <w:strike w:val="0"/>
      <w:sz w:val="16"/>
    </w:rPr>
  </w:style>
  <w:style w:type="paragraph" w:styleId="656">
    <w:name w:val="       ConsPlusCell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7">
    <w:name w:val="       ConsPlusDocLis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16"/>
    </w:rPr>
  </w:style>
  <w:style w:type="paragraph" w:styleId="658">
    <w:name w:val="       ConsPlusTitlePage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16"/>
    </w:rPr>
  </w:style>
  <w:style w:type="paragraph" w:styleId="659">
    <w:name w:val="       ConsPlusJurTerm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26"/>
    </w:rPr>
  </w:style>
  <w:style w:type="paragraph" w:styleId="660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paragraph" w:styleId="661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character" w:styleId="3760" w:default="1">
    <w:name w:val="Default Paragraph Font"/>
    <w:uiPriority w:val="1"/>
    <w:semiHidden/>
    <w:unhideWhenUsed/>
  </w:style>
  <w:style w:type="numbering" w:styleId="3761" w:default="1">
    <w:name w:val="No List"/>
    <w:uiPriority w:val="99"/>
    <w:semiHidden/>
    <w:unhideWhenUsed/>
  </w:style>
  <w:style w:type="table" w:styleId="376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70015&amp;dst=10035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19.11.2024 N 3333-р&amp;lt;Об утверждении комплексного плана мероприятий по повышению качества математического и естественно-научного образования на период до 2030 года&amp;gt;</dc:title>
  <dc:creator/>
  <cp:lastModifiedBy>obr_206-2</cp:lastModifiedBy>
  <cp:revision>1</cp:revision>
  <dcterms:modified xsi:type="dcterms:W3CDTF">2025-02-13T07:10:27Z</dcterms:modified>
</cp:coreProperties>
</file>