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2"/>
        <w:jc w:val="right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Проект 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892"/>
        <w:jc w:val="center"/>
        <w:rPr>
          <w:b/>
          <w:bCs/>
          <w:color w:val="ff0000"/>
          <w:sz w:val="28"/>
          <w:szCs w:val="28"/>
          <w:highlight w:val="none"/>
        </w:rPr>
      </w:pPr>
      <w:r>
        <w:rPr>
          <w:b/>
          <w:bCs/>
          <w:color w:val="ff0000"/>
          <w:sz w:val="28"/>
          <w:szCs w:val="28"/>
          <w:highlight w:val="none"/>
        </w:rPr>
      </w:r>
      <w:r>
        <w:rPr>
          <w:b/>
          <w:bCs/>
          <w:color w:val="ff0000"/>
          <w:sz w:val="28"/>
          <w:szCs w:val="28"/>
          <w:highlight w:val="none"/>
        </w:rPr>
      </w:r>
      <w:r>
        <w:rPr>
          <w:b/>
          <w:bCs/>
          <w:color w:val="ff0000"/>
          <w:sz w:val="28"/>
          <w:szCs w:val="28"/>
          <w:highlight w:val="none"/>
        </w:rPr>
      </w:r>
    </w:p>
    <w:p>
      <w:pPr>
        <w:pStyle w:val="892"/>
        <w:jc w:val="center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bCs/>
          <w:color w:val="000000" w:themeColor="text1"/>
          <w:sz w:val="28"/>
          <w:szCs w:val="28"/>
        </w:rPr>
        <w:t xml:space="preserve">Программа 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9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профилактики рисков причинения вреда (ущерба) </w:t>
      </w:r>
      <w:r>
        <w:rPr>
          <w:b/>
          <w:color w:val="000000" w:themeColor="text1"/>
          <w:sz w:val="28"/>
          <w:szCs w:val="28"/>
        </w:rPr>
        <w:t xml:space="preserve">охраняемым законом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89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ценностям при осуществлении департаментом образования 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89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Еврейской автономной области федерального государственного кон</w:t>
      </w:r>
      <w:r>
        <w:rPr>
          <w:b/>
          <w:color w:val="000000" w:themeColor="text1"/>
          <w:sz w:val="28"/>
          <w:szCs w:val="28"/>
        </w:rPr>
        <w:t xml:space="preserve">троля (надзора) в сфере образования на 2025 год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89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Общие положения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892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Программа профилактики рисков причинения вреда (ущерба) охраняемым законом ценностям в сфере образования на 2025 год (далее – Программа профилактики) является организационной основой осущест</w:t>
      </w:r>
      <w:r>
        <w:rPr>
          <w:color w:val="000000" w:themeColor="text1"/>
          <w:sz w:val="28"/>
          <w:szCs w:val="28"/>
        </w:rPr>
        <w:t xml:space="preserve">вления мероприятий, направленных на предупреждение нарушений обязательных требований, соблюдение которых оценивается департаментом образования Еврейской автономной области при проведении федерального государственного контроля (надзора) в сфере образования.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Правовыми основаниями разработки Программы профилактики являются: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часть 3 статьи 44 Федерального закона от 31.07.2020 № 248-ФЗ «О государственном контроле (надзоре) и муниципальном контроле в Российской Федерации» (далее – Федеральный закон № 248-ФЗ);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Постановление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пункт 4 Положения о департаменте образования Еврейской автономной области, утвержденного постановлением правительства Еврейской автономной области от 29.07.2014 № 373-пп.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Ответственным исполнителем Программы профилактики является отдел контроля и надзора в сфере образования департамента образования Еврейской автономной области.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Программа профилактики реализуется в 2025 году и содержит анализ текущего состояния федерального государственного контроля (надзора) в сфере образования, описание текущего развития профилактической деятельности, хара</w:t>
      </w:r>
      <w:r>
        <w:rPr>
          <w:color w:val="000000" w:themeColor="text1"/>
          <w:sz w:val="28"/>
          <w:szCs w:val="28"/>
        </w:rPr>
        <w:t xml:space="preserve">ктеристика проблем, на решение которых направлена программа профилактики, цели и задачи Программы профилактики, перечень профилактических мероприятий, сроки (периодичность) их проведения, показатели результативности и эффективности Программы профилактики.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</w:r>
    </w:p>
    <w:p>
      <w:pPr>
        <w:pStyle w:val="892"/>
        <w:ind w:firstLine="709"/>
        <w:jc w:val="center"/>
        <w:rPr>
          <w:bCs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Раздел 1.</w:t>
      </w:r>
      <w:r>
        <w:rPr>
          <w:b/>
          <w:color w:val="000000" w:themeColor="text1"/>
          <w:sz w:val="28"/>
          <w:szCs w:val="28"/>
        </w:rPr>
        <w:t xml:space="preserve"> Анализ текущего состояния федерального государственного контроля (надзора) в сфере о</w:t>
      </w:r>
      <w:r>
        <w:rPr>
          <w:b/>
          <w:color w:val="000000" w:themeColor="text1"/>
          <w:sz w:val="28"/>
          <w:szCs w:val="28"/>
        </w:rPr>
        <w:t xml:space="preserve">бразования, описание текущего развития профилактической деятельности, характеристика проблем, на решение которых направлена  Программа профилактики</w:t>
      </w:r>
      <w:r>
        <w:rPr>
          <w:bCs/>
          <w:color w:val="000000" w:themeColor="text1"/>
        </w:rPr>
      </w:r>
      <w:r>
        <w:rPr>
          <w:bCs/>
          <w:color w:val="000000" w:themeColor="text1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b/>
          <w:bCs/>
          <w:i/>
          <w:color w:val="000000" w:themeColor="text1"/>
          <w:sz w:val="28"/>
          <w:szCs w:val="28"/>
        </w:rPr>
      </w:pPr>
      <w:r>
        <w:rPr>
          <w:b/>
          <w:i/>
          <w:iCs/>
          <w:color w:val="000000" w:themeColor="text1"/>
          <w:sz w:val="28"/>
          <w:szCs w:val="28"/>
        </w:rPr>
        <w:t xml:space="preserve">1.1. Анализ текущего состояния федерального государственного контроля (надзора) в сфере образования.</w:t>
      </w:r>
      <w:r>
        <w:rPr>
          <w:b/>
          <w:bCs/>
          <w:i/>
          <w:color w:val="000000" w:themeColor="text1"/>
          <w:sz w:val="28"/>
          <w:szCs w:val="28"/>
        </w:rPr>
      </w:r>
      <w:r>
        <w:rPr>
          <w:b/>
          <w:bCs/>
          <w:i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Департамент образования Еврейской автономной области (далее – департамент образования) в соответст</w:t>
      </w:r>
      <w:r>
        <w:rPr>
          <w:color w:val="000000" w:themeColor="text1"/>
          <w:sz w:val="28"/>
          <w:szCs w:val="28"/>
        </w:rPr>
        <w:t xml:space="preserve">вии с пунктом 1 части 1 статьи 7 Федерального закона от 29.12.2012 № 273-ФЗ «Об образовании в Российской Федерации» исполняет переданные Российской Федерацией полномочия по осуществлению федерального государственного контроля (надзора) в сфере образования.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частью 1 статьи 93 Федерального закона от 29.12.2012 № 273-ФЗ «Об образовании в Российской Федер</w:t>
      </w:r>
      <w:r>
        <w:rPr>
          <w:color w:val="000000" w:themeColor="text1"/>
          <w:sz w:val="28"/>
          <w:szCs w:val="28"/>
        </w:rPr>
        <w:t xml:space="preserve">ации» государственный контроль (надзор) в сфере образования включает в себя федеральный государственный контроль (надзор) в сфере образования, государственный контроль (надзор) за реализацией органами местного самоуправления полномочий в сфере образования.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Федеральный государственный контроль (надзор) в сфере образования осуществляется в соответствии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Положением о федеральном государственном контроле (надзоре) в сфере образования, утвержденным постановлением Правительства Российской Федерации от 25.06.2021 № 997 (далее - Положение о ФГК № 997).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Государственный контроль (надзор) за реализацией органами местного самоуправления полномочий в сфере образования осуществляется в соответствии с Федеральным </w:t>
      </w:r>
      <w:hyperlink r:id="rId11" w:tooltip="consultantplus://offline/ref=1BF736F16E291BFE2510CC979945D02A4D097ACC9C96023367BDBEA494903B41C2D3C062A77F1146AE7F85BF93gEtDC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Предметом федерального государственного контроля (надзора) в сфере образования являются: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соблюдение обязательных требований, ус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тановленных законодательством об образовании, в том числе лицензионных требований к образовательной деятельности и требований, установленных федеральными государственными образовательными стандартами, и требований к выполнению аккредитационных показателей;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соблюдение требований по обеспечению доступности для инвалидов объектов социальной, инженерной и транспортной инфраструктур и предоставляемых услуг;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исполнение решений, принимаемых по результатам контрольных (надзорных) мероприятий.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нормативных правовых актов, содержащих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обязательные требования, соблюдение которых оценивается департаментом образования при проведении мероприятий по федеральному государственному контролю (надзору) в сфере образования, размещен на официальном сайте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департамента образования </w:t>
      </w:r>
      <w:hyperlink r:id="rId12" w:tooltip="https://komobr-eao.ru/" w:history="1">
        <w:r>
          <w:rPr>
            <w:rStyle w:val="893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(https://komobr-eao.ru/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в сети «Интернет»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разделе «Государственный контроль (надзор) в сфере образования»/«Профилактика нарушений обязательных требований».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Контролируемыми лицами при осуществлении государственного контроля (надзора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являются организации, осуществляющие образовательную деятельность, и индивидуальные предприниматели, осуществляющие образовательную деятельность, за исключением индивидуальных предпринимателей, осуществляющих образовательную деятельность непосредственно.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Объектами государственного контроля (надзора)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сфере образования являются образовательные организации и организации, осуществляющие образовательную деятельность, индивидуальные предприниматели, осуществляющие образовательную деятельность, зарегистрированные на территории Еврейской автономной области.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 сбо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ре, анализе и учете сведений об объектах контроля для целей их учета используется информация, представляемая в соответствии с нормативными правовыми актами, информация, получаемая в рамках межведомственного взаимодействия, а также общедоступная информация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сведений об объектах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государственного контроля (надзора) в сфере образования осуществляется посредством: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реестра лицензий на осуществление образовательной деятельности;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государственной 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государственной информационной системы государственного надзора в сфере образования;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4) федеральной информационной системы «Федеральный реестр сведений о документах об образовании и (или) о квалификации, документах об обучении»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pacing w:val="-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иных государственных и региональных информационных систем путем межведомственного информационного взаимодействия.</w:t>
      </w:r>
      <w:r>
        <w:rPr>
          <w:rFonts w:ascii="Times New Roman" w:hAnsi="Times New Roman" w:cs="Times New Roman"/>
          <w:color w:val="000000" w:themeColor="text1"/>
          <w:spacing w:val="-4"/>
        </w:rPr>
      </w:r>
      <w:r>
        <w:rPr>
          <w:rFonts w:ascii="Times New Roman" w:hAnsi="Times New Roman" w:cs="Times New Roman"/>
          <w:color w:val="000000" w:themeColor="text1"/>
          <w:spacing w:val="-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состоянию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 января 2024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общее количество объектов федерального государственного контроля (надзора) в сфере образования составило 181 организация (2023 год - 179), осуществляющая образовательную деятельность на территории области, индивидуальных предпринимателей, из которых: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57 -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дошкольные образовательные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64 -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общеобразовательные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10 -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профессиональные образовательные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23 -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организации дополнительного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8 -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 дополнительного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профессионального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 для детей-сирот 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детей, оставшихся без попечения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родителей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3 -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организации, осуществляющие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лечение, оздоровление и (или) отдых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организации, осуществляющие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социальное обслуживание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12 - иные юридические лица;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индивидуальные предприниматели, осуществляющие образовательную деятельность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Увеличение объектов произошло за счет вхождения в систему образования спортивных школ.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осуществлении государственного контроля (надзора) проводятся следующие виды контрольных (надзорных) мероприятий: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документарная проверка;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выездная проверка;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наблюдение за соблюдением обязательных требований (мониторинг безопасности).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Плановые контрольные (надзорные) мероприятия проводятся на основании плана проведения плановых контрольных (надзорных) мероприятий на очередной календарный год и подлежащего согласованию с органами прокуратуры.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Плановые контрольные (надзорные) мероприятия в виде выездных/документарных проверок в отношении объектов государственного контроля (надзора), отнесенных к определенным категориям риска, проводятся со следующей периодичностью: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категории высокого риска – один раз в 3 года;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категории среднего риска – один раз в 4 года;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отношении объектов контроля, отнесенных к категории низкого риска, плановые контрольные (надзорные) мероприятия не проводятся.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Положением о ФГКН № 997 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определены следующие критерии отнесения объектов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государственного контроля (надзора) в сфере образования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 к категориям риска причинения вреда (ущерба) охраняемым законом ценностям: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1. </w:t>
      </w:r>
      <w:r>
        <w:rPr>
          <w:rFonts w:ascii="Times New Roman" w:hAnsi="Times New Roman" w:eastAsia="NSimSun" w:cs="Times New Roman"/>
          <w:i/>
          <w:iCs/>
          <w:color w:val="000000" w:themeColor="text1"/>
          <w:sz w:val="28"/>
          <w:szCs w:val="28"/>
          <w:lang w:eastAsia="zh-CN"/>
        </w:rPr>
        <w:t xml:space="preserve">низкий риск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 (деятельность организаций, осуществляющих образ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овательную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непосредственно, по реализации одной или нескольких основны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х образовательных программ, имеющих государственную аккредитацию образовательной деятельности (за исключением образовательных программ дошкольного образования, основных программ профессионального обучения), и (или) дополнительных образовательных программ).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2. </w:t>
      </w:r>
      <w:r>
        <w:rPr>
          <w:rFonts w:ascii="Times New Roman" w:hAnsi="Times New Roman" w:eastAsia="NSimSun" w:cs="Times New Roman"/>
          <w:i/>
          <w:iCs/>
          <w:color w:val="000000" w:themeColor="text1"/>
          <w:sz w:val="28"/>
          <w:szCs w:val="28"/>
          <w:lang w:eastAsia="zh-CN"/>
        </w:rPr>
        <w:t xml:space="preserve">средний риск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 (образовательная деятельность контролируемых лиц при наличии обращения (жалобы, заявления), признанного обоснованным по результатам рассмотрения в Федеральной службе по надзору в сфере образования и науки или в департаменте образования, от 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физических и юридических лиц, в том числе индивидуальных предпринимателей, государственных и муниципальных органов и их должностных лиц, средств массовой информации, о фактах нарушения контролируемым лицом обязательных требований и (или) исполнения решений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, принимаемых по результатам контрольных (надзорных) мероприятий, в течение календарного года, предшествующего дате принятия решения об отнесении объекта федерального государственного контроля (надзора) в сфере образования к определенной категории риска); 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(образовательная деятельность контролируемых лиц при наличии вступившего в законную силу постановления о назначении административного наказания контролируемому лицу за совершение административного правонарушения в сфере образования, предусмотренного од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ной или несколькими статьями Кодекса Российской Федерации об административных правонарушениях: статьей 5.57, статьей 9.13, частью 1 статьи 19.4, статьей 19.41, частью 1 статьи 19.5, статьями 19.6, 19.7, 19.20 и 19.30, статьей 19.30.2 (в части сведений о вы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данных документах об образован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ии и (или) о квалификации, документах об обучении) в                               период 3 лет, предшествующих дате принятия решения об отнесении объекта федерального государственного контроля (надзора) в сфере образования к определенной категории риска);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  <w:t xml:space="preserve">бразовательная деятельность контролируемых лиц при несоблюдении аккредитационных показателей, выявленном по результатам аккредитационного мониторинга, в течение 3 лет, предшествующих дате принятия решения об отнесении объекта федерального государственного 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  <w:t xml:space="preserve">контроля (надзора) в сфере образования к определенной категории риска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3. </w:t>
      </w:r>
      <w:r>
        <w:rPr>
          <w:rFonts w:ascii="Times New Roman" w:hAnsi="Times New Roman" w:eastAsia="NSimSun" w:cs="Times New Roman"/>
          <w:i/>
          <w:iCs/>
          <w:color w:val="000000" w:themeColor="text1"/>
          <w:sz w:val="28"/>
          <w:szCs w:val="28"/>
          <w:lang w:eastAsia="zh-CN"/>
        </w:rPr>
        <w:t xml:space="preserve">высокий риск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 (образовательная деятельность контролируемых лиц при одновременном наличии двух и более критериев среднего риска).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Приказом департамента образования области от 17.09.2024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388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«Об отнесении объектов федерального государственного контроля (надзора) в сфере образования к категориям высокого, среднего и низкого риска причинения вреда (ущерба) охраняемым законом ценностям» определен перечень контролируемых лиц, образовательна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деятельность которых отнесена департаментам образования Еврейской автономной области к объектам федерального государственного контроля (надзора) в сфере образования средней и высокой категории риска причинения вреда (ущерба) охраняемым законом ценностям.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результатам проведенного департаментом образования в 2024 году сопоставления характеристик объектов контроля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 утвержденными критериями их отнесения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категориям риска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объекты контроля были отнесены к следующим категориям риска: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высокий риск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–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отсутствуют;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редний риск –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3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объекта (2025 год - 5 объектов)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низкий риск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179 объектов (объекты контроля, не отнесенные к категориям высокого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и среднего риска, в отношении которы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х плановые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контрольные (надзорные) мероприятия не проводятся).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Категория риска причинения вреда (ущерба) охраняемым законом ценностям, к которой отнесен объект федерального государственного контроля (надзора), влияет на периодичность проведения плановых контрольных (надзорных) мероприятий.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пункта 11(4) постановле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 и муниципальных учреждений дошкольного и начального общего образования, основного общего и ср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еднего общего образования, объекты контроля которых отнесены к категории высокого риска, а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отношении таких учреждений может проводиться профилактический визит продолжительностью один день, не предусматривающий возможность отказа от его проведения.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В соответствии с пунктом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</w:t>
      </w: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внеплановые контрольные (надзорные) мероприятия в 2024 году проводятся по следующим основаниям: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а) при условии согласования с органами прокуратуры: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при выявлении индикаторов риска нарушения обязательных требований;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по истечении срока исполнения предписания об устранении выявленного нарушения обязательных требований, выданного после 1 марта 2023 г.;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б) без согласования с органами прокуратуры: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по поручению Президента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по поручению Председателя Правительства Российской Федерации, принятому после вступления в силу настоящего постановления;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по поручению Заместителя Председателя Правительства Российской Федерации, принятому после вступления в силу настоящего постановления </w:t>
      </w: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br/>
        <w:t xml:space="preserve">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по требованию прокурора в рамках надзора за исполнением законов, соблюдением прав и свобод человека и гражданина по поступившим </w:t>
      </w: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br/>
        <w:t xml:space="preserve">в органы прокуратуры материалам и обращениям;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при представлении контролируемым лицом документов </w:t>
      </w:r>
      <w:r>
        <w:rPr>
          <w:rFonts w:ascii="Times New Roman" w:hAnsi="Times New Roman" w:eastAsia="Times New Roman" w:cs="Times New Roman" w:eastAsiaTheme="minorHAnsi"/>
          <w:color w:val="000000" w:themeColor="text1"/>
          <w:sz w:val="28"/>
          <w:szCs w:val="28"/>
          <w:lang w:eastAsia="en-US"/>
        </w:rPr>
        <w:br/>
        <w:t xml:space="preserve">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 году основания для проведения внеплановых проверок в отношении контролируемых лиц отсутствовали.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Должностные лица департамента образования, уполномоченные на проведение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ольных (надзорных) мероприятий, проводят наблюдение за соблюдением обязательных требований (мониторинг безопасности) в отношении объектов государственного контроля (надзора) на основании задания начальника (заместителя начальника) департамента образования.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Под наблюдением за соблюдением обязательных требований (мониторингом безопасности) понимается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сбор, анализ данных об объектах государственного контроля (надзора), имеющихся у департамента образования, в том числе данных, которые поступают в ходе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жведомственного информационного взаимодействия, представляются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данные мониторинга системы образования;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из Единого государственного реестра недвижимости;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из Единого государственного реестра юридических лиц;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наличии (отсутствии) лицензии на проведение работ с использованием сведений, составляющих государственную тайну (при реализации образовательных программ, содержащих сведения, составляющие государственную тайну);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из федеральной информационной системы «Федеральный реестр сведений о документах об образовании и (или) о квалификации, документах об обучении»;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из государственной информационной системы государственного надзора в сфере образования;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информация, размещенная на официальных сайтах образовательных организаций в сети «Интернет».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Мониторинг безопасности относится к контрольным (надзорным) мероприятиям, проводимым без взаимодействия с контролируемым лицом.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 году проведено 4 наблюдения за соблюдением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обязательных требований (мониторинга безопасности):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717"/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 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езопасности)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 обновлени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информации 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(23 ОО);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 безопасности)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приеме на обучение по образовательным программам среднего профессионального образования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официальных сайтах профессиональных образовательных организаций в информационно-телекоммуникационной сети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(7 ОО);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17"/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мониторинга безопасности)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размещению сведений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(63 ОО);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мониторинга безопасности)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соответствию программ профессиональной подготовки охранников Типовым программам, размещенных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официальных сайтах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(2 ОО).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По результатам проведенных мероприятий выявлены признаки и факты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нарушений обязательных требований законодательства об образовании,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выдано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21 предостережение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недопустимости нарушений обязательных требований.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осуществления контроля за организацией и проведением государственной итоговой аттестации в 2024 году в отношении участника ГИА  составлен 1 протокол об административном правонарушении, предусмотренном частью 4 статьи 19.30 КоАП РФ.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5"/>
        <w:ind w:firstLine="708"/>
        <w:jc w:val="both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ре</w:t>
      </w:r>
      <w:r>
        <w:rPr>
          <w:color w:val="000000" w:themeColor="text1"/>
          <w:sz w:val="28"/>
          <w:szCs w:val="28"/>
        </w:rPr>
        <w:t xml:space="preserve">зультатам рассмотрения дел об административном правонарушении вынесено  постановление о привлечении физического лица к административной ответственности с применением административного наказания в виде наложения административного штрафа в сумме 3 тыс. руб.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В соответствии с частью 3 статьи 46 Федерального закона № 248-ФЗ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на официальном сайте департамента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hyperlink r:id="rId13" w:tooltip="https://komobr-eao.ru/" w:history="1">
        <w:r>
          <w:rPr>
            <w:rStyle w:val="893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(https://komobr-eao.ru/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в информационно-телекоммуникационной сети «Интернет» размещена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и поддерживается в актуальном состоянии следующая информация: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сведения об изменениях, внесенных в нормативные правовые акты, регулирующие осуществление федерального государственного контроля (надзора) в сфере образования, о сроках и порядке их вступления в силу;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hyperlink r:id="rId14" w:tooltip="consultantplus://offline/ref=FCCF22C2CC153EBF82085F1C10AA7DCF39AB9DB798ADC43A82AA25BFADCEBB2ECF5DF54BE26B7B03DE43138104u7d0I" w:history="1">
        <w:r>
          <w:rPr>
            <w:rFonts w:ascii="Times New Roman" w:hAnsi="Times New Roman" w:eastAsia="Times New Roman" w:cs="Times New Roman"/>
            <w:bCs/>
            <w:color w:val="000000" w:themeColor="text1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нормативных правовых актов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(их отдельных положений),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содержащих обязательные требования, оценка соблюдения которых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осуществляется в рамках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федерального государственного контроля (надзора) в сфере образования;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проверочные листы, используемые при осуществлении федерального государственного контроля (надзора) в сфере образования, утвержденные приказом Рособрнадзора от 29.11.2021 № 1533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Об утверждении форм проверочных листов, используемых при осуществлении федерального государственного контроля (надзора) в сфере образования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(в редакции приказа Рособрнадзора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09.03.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367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«О вн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есении изменений в приказ Федеральной службы по надзору в сфере образования и науки от 29.11.2021 № 1533 «Об утверждении форм проверочных листов, используемых при осуществлении федерального государственного контроля (надзора) в сфере образования»);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pStyle w:val="907"/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hyperlink w:tooltip="#P31" w:anchor="P3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индикаторов риска нарушения обязательных требований, используемых при осуществлении федерального государственного контроля (надзора) в сфере образования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утвержденный приказом Рособрнадзора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04.10.2021 № 1336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(в редакции приказа Рособрнадзора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13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.06.2023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1071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«О внесении изменений в перечень индикато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ров риска нарушения обязательных требований, используемых при осуществлении федерального государственного контроля (надзора) в сфере образования, утвержденный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приказом Федеральной службы по надзору в сфере образования и науки от  04.10.2021 № 1336»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перечень объектов федерального государственного контроля (надзора)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br/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в сфере образования, учитываемых в рамках формирования ежегодного плана контрольных (надзорных) мероприятий, отнесенных к категориям высокого,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среднего и низкого риска причинения вреда (ущерба) охраняемым законом ценностям, утвержденный приказом департамента образования от 17.09.2024 № 388;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программа профилактики рисков причинения вреда (ущерба)  охраняемым законом ценностям при осуществлении федерального государственного контроля (надзора) в сфере образования на 202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4 год, утвержденная, утвержденная приказом департамента образования от19.12.2022 № 522;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исчерпывающий перечень сведений, которые могут запрашиваться контрольным (надзорным) органом у контролируемого лица;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сведения о порядке досудебного обжалования решений контрольного (надзорного) органа, действий (бездействия) его должностных лиц;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доклад о результатах обобщения правоприменительной практики  департаментом образования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при осуществлении федерального государственного контроля (надзора) </w:t>
      </w:r>
      <w:r>
        <w:rPr>
          <w:rStyle w:val="912"/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сфере образования</w:t>
      </w:r>
      <w:r>
        <w:rPr>
          <w:rStyle w:val="912"/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2023 году</w:t>
      </w:r>
      <w:r>
        <w:rPr>
          <w:rStyle w:val="912"/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утвержденный приказом департамента образования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29.03.2023 № 141;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доклад об осуществлении федерального государственного контроля (надзора) в сфере образования за 202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3 год.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pStyle w:val="892"/>
        <w:ind w:firstLine="708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В 2024 году контрольные (надзорные) мероприятия в рамках федерального государственного контроля (надзора) в сфере образования проведены с соблюдением требованием законодательства о порядке их проведения.</w:t>
      </w:r>
      <w:r>
        <w:rPr>
          <w:rFonts w:eastAsia="Times New Roman"/>
          <w:color w:val="000000" w:themeColor="text1"/>
          <w:sz w:val="28"/>
          <w:szCs w:val="28"/>
        </w:rPr>
      </w:r>
      <w:r>
        <w:rPr>
          <w:rFonts w:eastAsia="Times New Roman"/>
          <w:color w:val="000000" w:themeColor="text1"/>
          <w:sz w:val="28"/>
          <w:szCs w:val="28"/>
        </w:rPr>
      </w:r>
    </w:p>
    <w:p>
      <w:pPr>
        <w:pStyle w:val="892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Жалобы на решение департамента образования, действие (бездействие) должностных лиц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департамента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досудебного порядка подачи жалоб не поступали</w:t>
      </w:r>
      <w:r>
        <w:rPr>
          <w:rFonts w:eastAsia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left"/>
        <w:spacing w:after="0" w:line="240" w:lineRule="auto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1.2. Описание текущего развития профилактической деятельности</w:t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13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Положение о ФГКН № 997 при осуществлении государственного контроля (надзора) департамент образования проводит профилактические мероприятия: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информирование;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обобщение правоприменительной практики;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объявление предостережения;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консультирование;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профилактический визит;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6) меры стимулирования добросовестности.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7"/>
        <w:ind w:left="0"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предупреждения нарушений обязательных требований законодательства об образовании, устран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причин, факторов и условий, способствующих нарушениям обязательных требований, департамент образования осуществляет мероприятия по профилактике нарушений обязательных требований законодательства об образовании в соответствии с программой профилактики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рисков причинения вреда (ущерба)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охраняемым законом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ценностям при осуществлении федерального государственного контроля (надзора) в сфере образования на 2024 год, утвержденной приказом департамента образования от 19.12.2022 № 522.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рамках данного направления работы осуществляется следующий перечень мероприятий по профилактике нарушений обязательных требований законодательства Российской Федерации об образовании: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Информирование контролируемых лиц.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Информирование контролируемых и иных заинтересованных лиц по вопросам соблюдения обязательных требований, установленных законодательством Российской Федерации об образовании, в том числе лицензионных требований при осуществлении образова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тельной деятель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ности и требований, установленных федеральными государственными образовательными стандартами, осуществляется посредством размещения соответствующих сведений на официальном сайте департамента образования в информационно-телекоммуникационной сети «Интернет» </w:t>
      </w:r>
      <w:hyperlink r:id="rId15" w:tooltip="https://komobr-eao.ru/" w:history="1">
        <w:r>
          <w:rPr>
            <w:rStyle w:val="893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департамента образования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размещена и поддерживается в актуальном состоянии следующая информация: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тексты нормативных правовых актов, регулирующих осуществление федерального государственного контроля (надзора) в сфере образования;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сведения об изменениях, внесенных в нормативные правовые акты, регулирующие осуществление федерального государственного контроля (надзора) в сфере образования, о сроках и порядке их вступления в силу;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перечень нормативных правовых актов с указанием структурных единиц этих актов, содержащих обязательные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требования, оценка соблюдения которых является предметом федерального государственного контроля (надзора) в сфере образования, а также информация о мерах ответственности, применяемых при нарушении обязательных требований, с текстами в действующей редакции;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руководства по соблюдению обязательных требований;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исчерпывающий перечень сведений, которые могут запрашиваться контрольным (надзорным) органом у контролируемого лица;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92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информационные и инструктивно-методические письма;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информация о способах получения консультаций по вопросам соблюдения обязательных требований;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сведения о порядке досудебного обжалования решений контрольного (надзорного) органа, действий (бездействия) его должностных лиц.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907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Работает «Горячая линия» по актуальным вопросам соблюдения законодательства Российской Федерации в сфере образования.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Организация и проведение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обобщения правоприменительной практики контрольной (надзорной) деятельности.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осуществляется обобщение правоприменительной практики и не позднее 30 апреля каждого года обеспечивается подготовка проекта докла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да, содержащего результаты обобщения правоприменительной практики департамента образования за предшествующий календарный год, и его размещение на официальном сайте для публичного обсуждения. Срок проведения публичного обсуждения составляет 10 рабочих дней.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 о правоприменительной практике утверждается приказом начальника департамента образования и размещается на официальном сайте департамента образования в информационно-телекоммуникационной сети «Интернет» </w:t>
      </w:r>
      <w:hyperlink r:id="rId16" w:tooltip="https://komobr-eao.ru/" w:history="1">
        <w:r>
          <w:rPr>
            <w:rStyle w:val="893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1 июня каждого года.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Основные мероприятия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 проведению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обобщения правоприменительной практики контрольной (надзорной) деятельности: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подготовка статистической информации о количестве проведенных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размещение статистической информации о количестве проведенных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 подготовка проекта обобщения и анализа правоприменительной практики контрольной (надзорной) деятельности;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проведение публичного обсуждения результатов правоприменительной практики законодательства об образовании;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 размещение доклада обобщения и анализа правоприменительной практики контрольной (надзорной) деятельности на официальном сайте департамента образования в информационно - телекоммуникационной сети «Интернет».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апреле 2024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проведено </w:t>
      </w:r>
      <w:r>
        <w:rPr>
          <w:rFonts w:ascii="Times New Roman" w:hAnsi="Times New Roman" w:eastAsia="Times New Roman"/>
          <w:bCs/>
          <w:color w:val="000000" w:themeColor="text1"/>
          <w:sz w:val="28"/>
          <w:szCs w:val="28"/>
          <w:lang w:eastAsia="ru-RU"/>
        </w:rPr>
        <w:t xml:space="preserve">публичное обсуждение результатов правоприменительной практики и мер, необходимых для устранения нарушений требований законодательства Российской Федерации в сфере образования</w:t>
      </w:r>
      <w:r>
        <w:rPr>
          <w:rFonts w:ascii="Times New Roman" w:hAnsi="Times New Roman" w:eastAsia="Times New Roman"/>
          <w:bCs/>
          <w:color w:val="000000" w:themeColor="text1"/>
          <w:sz w:val="28"/>
          <w:szCs w:val="28"/>
          <w:lang w:eastAsia="ru-RU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/>
          <w:bCs/>
          <w:color w:val="000000" w:themeColor="text1"/>
          <w:sz w:val="28"/>
          <w:szCs w:val="28"/>
          <w:lang w:eastAsia="ru-RU"/>
        </w:rPr>
        <w:t xml:space="preserve">В публичном обсуждении приняли участие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руководители (заместители руководителя) организаций,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реализующих программы начального общего, основного общего, среднего общего образования, а </w:t>
      </w:r>
      <w:r>
        <w:rPr>
          <w:rFonts w:ascii="Times New Roman" w:hAnsi="Times New Roman" w:eastAsia="Times New Roman"/>
          <w:bCs/>
          <w:color w:val="000000" w:themeColor="text1"/>
          <w:sz w:val="28"/>
          <w:szCs w:val="28"/>
          <w:lang w:eastAsia="ru-RU"/>
        </w:rPr>
        <w:t xml:space="preserve">также специалист</w:t>
      </w:r>
      <w:r>
        <w:rPr>
          <w:rFonts w:ascii="Times New Roman" w:hAnsi="Times New Roman" w:eastAsia="Times New Roman"/>
          <w:bCs/>
          <w:color w:val="000000" w:themeColor="text1"/>
          <w:sz w:val="28"/>
          <w:szCs w:val="28"/>
          <w:lang w:eastAsia="ru-RU"/>
        </w:rPr>
        <w:t xml:space="preserve">ы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органов местного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самоуправления, осуществляющие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управление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сфере образования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79 чел.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eastAsia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мероприятия специалистами </w:t>
      </w:r>
      <w:r>
        <w:rPr>
          <w:rFonts w:ascii="Times New Roman" w:hAnsi="Times New Roman" w:cs="Times New Roman"/>
          <w:sz w:val="28"/>
          <w:szCs w:val="28"/>
        </w:rPr>
        <w:t xml:space="preserve">отдела контроля и надзора в сфере образования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освещены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результат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ы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обобщения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правоприменительной практики за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2023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год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, типичные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а также меры, необходимые для устранения нарушений требований законодательства Российской Федерации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об образовании.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>
        <w:rPr>
          <w:rFonts w:ascii="Times New Roman" w:hAnsi="Times New Roman" w:cs="Times New Roman"/>
          <w:sz w:val="28"/>
          <w:szCs w:val="28"/>
        </w:rPr>
        <w:t xml:space="preserve">даны ответы на поступившие от руководителей образовательных организаций вопросы, полученных в ходе подготовки публичных обсуждений.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Материалы, использованные в ходе проведения данного мероприятия, размещены на сайте департамента образования </w:t>
      </w:r>
      <w:r>
        <w:rPr>
          <w:rFonts w:ascii="Times New Roman" w:hAnsi="Times New Roman" w:cs="Times New Roman"/>
          <w:color w:val="0070c0"/>
          <w:sz w:val="28"/>
          <w:szCs w:val="28"/>
        </w:rPr>
      </w:r>
      <w:hyperlink r:id="rId17" w:tooltip="https://komobr-eao.ru" w:history="1">
        <w:r>
          <w:rPr>
            <w:rStyle w:val="893"/>
            <w:rFonts w:ascii="Times New Roman" w:hAnsi="Times New Roman" w:cs="Times New Roman"/>
            <w:color w:val="0070c0"/>
            <w:sz w:val="28"/>
            <w:szCs w:val="28"/>
          </w:rPr>
          <w:t xml:space="preserve">https://komobr-eao.ru</w:t>
        </w:r>
      </w:hyperlink>
      <w:r>
        <w:rPr>
          <w:rFonts w:ascii="Times New Roman" w:hAnsi="Times New Roman" w:cs="Times New Roman"/>
          <w:color w:val="558ed4" w:themeColor="text2" w:themeTint="9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подразделе «Федеральный государственный контроль (надзор) в сфере образования»/ «Профилактика нарушений обязательных требований». </w:t>
      </w:r>
      <w:r>
        <w:rPr>
          <w:rFonts w:ascii="Times New Roman" w:hAnsi="Times New Roman" w:cs="Times New Roman"/>
          <w:color w:val="558ed4" w:themeColor="text2" w:themeTint="9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мероприятия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  <w:t xml:space="preserve">были освещены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результат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ы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обобщения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правоприменительной практики за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2022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 год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, типичные нарушения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обязательных требований законодательства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образовании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а также меры, необходимые для устранения нарушений требований законодательства Российской Федерации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об образовании.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09"/>
        <w:ind w:firstLine="709"/>
        <w:jc w:val="both"/>
        <w:spacing w:before="0" w:beforeAutospacing="0" w:after="0" w:afterAutospacing="0"/>
        <w:shd w:val="clear" w:color="auto" w:fill="ffffff"/>
        <w:rPr>
          <w:color w:val="000000" w:themeColor="text1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Анкет</w:t>
      </w:r>
      <w:r>
        <w:rPr>
          <w:color w:val="000000" w:themeColor="text1"/>
          <w:sz w:val="28"/>
          <w:szCs w:val="28"/>
          <w:highlight w:val="none"/>
        </w:rPr>
        <w:t xml:space="preserve">ирование показало, что </w:t>
      </w:r>
      <w:r>
        <w:rPr>
          <w:color w:val="000000" w:themeColor="text1"/>
          <w:sz w:val="28"/>
          <w:szCs w:val="28"/>
          <w:highlight w:val="none"/>
        </w:rPr>
        <w:t xml:space="preserve">98,6% участников</w:t>
      </w:r>
      <w:r>
        <w:rPr>
          <w:color w:val="000000" w:themeColor="text1"/>
          <w:sz w:val="28"/>
          <w:szCs w:val="28"/>
          <w:highlight w:val="none"/>
        </w:rPr>
        <w:t xml:space="preserve"> положительно оценили организацию и эффективность проведения данного мероприятия, </w:t>
      </w:r>
      <w:r>
        <w:rPr>
          <w:color w:val="000000" w:themeColor="text1"/>
          <w:sz w:val="28"/>
          <w:szCs w:val="28"/>
          <w:highlight w:val="none"/>
        </w:rPr>
        <w:t xml:space="preserve">своевременность и необходимость полученной информации, квалификацию выступающих, а также  открытость и доступность полученной информации.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Объявление предостережений о недопустимости нарушения обязательных требований.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наличия у департамента образования сведений о готовящихся нарушениях обязате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охраняемым законом ценностям департамент образования  объявляет контролируемому лицу предостережение о недопустимости нарушения обязательных требований (далее - предостережение) и предлагает принять меры по обеспечению соблюдения обязательных требований.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Контролируемое лицо в течение 10 рабочих дней со дня получения предостережения вправе подать в департамент образования возражение в отношении предостережения по почте и (или) электронной почте.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возражения в отношении предостережения департамент образования принимает одно из следующих решений: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удовлетворить возражение в отношении предостережения в форме отмены объявленного предостережения;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отказать в удовлетворении возражения в отношении предостережения.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частью 1 статьи 49 Федерального закона № 248-ФЗ, Положением о ФГК № 997 в течение 2024 года контролируемым лицам  вынесено 32 (2023 г. - 18) предостережения о недопустимости нарушений обязательных требований,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которых: 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нарушение сроков внесения сведения в ФИС ФРДО,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 – по результатам проведения мониторингов безопасности,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– по результатам анализа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размещения информации в ФИС ГИА и Приема,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 – к условиям выдачи аттестата о среднем общем образовании с отличием сине-голубого цвета и медали «За особые успехи в учении»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II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степени.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Консультирование контролируемых лиц и их представителей.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Должностные лица департамента образования осуществляют консультирование контролируемых лиц и их представителей: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в виде устных разъяснений на личном приеме;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в виде устных разъяснений в ходе проведения профилактического визита;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посредством размещения на официальном сай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 департамента образования письменного разъяснения по однотипным обращениям контролируемых лиц и их представителей, подписанного уполномоченным должностным лицом, в случае поступления 10 и более однотипных обращений контролируемых лиц и их представителей.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Консультирование контролируемых лиц и их представителей осуществляется по вопросам, связанным с организацией и осуществлением государственного контроля (надзора), в том числе с: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 порядком проведения контрольных (надзорных) мероприятий;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 периодичностью проведения контрольных (надзорных) мероприятий;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 порядком принятия решений по итогам контрольных (надзорных) мероприятий;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 порядком обжалования решений контрольного (надзорного) органа в сфере образования.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График проведения консультирования (информация о месте проведения консультирования, днях и часах консультирования) размещен на официальном сайте департамента образования в сети «Интернет» </w:t>
      </w:r>
      <w:hyperlink r:id="rId18" w:tooltip="https://komobr-eao.ru/" w:history="1">
        <w:r>
          <w:rPr>
            <w:rStyle w:val="893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разделе «Государственный контроль (надзор) в сфере обра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зования»/«Аналитические материалы, информации».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текущем году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проведено 6 консультаций, все консультации проведены в рамках профилактического визита.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Проведение профилактических визитов в форме профилактической беседы в отношении  контролируемых лиц.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образования проводит обязательный 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Обязательные профилактические визиты предусмотрены в отношении: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контролируемых лиц, получивших лицензию на осуществление образовательной деятельности, - в срок не позднее чем в течение одного года со дня начала такой деятельности;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контролируемых лиц, деятельность которых отнесена к категории высокого риска, - в срок не позднее одного года со дня принятия решения об отнесении объекта государственного контроля (надзора) к категории высокого риска в соответствии с </w:t>
      </w:r>
      <w:hyperlink r:id="rId19" w:tooltip="consultantplus://offline/ref=2B42DE38A5FAE4D37C6C4DE391FAC41EAE3979A2A04B0D31CECDE24B5E0215EA45C016692D416092AC66DB3B91F5E4F32C014697D4335B99LCD1F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ФГКН № 997.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контролируемых лиц, получивших право на осуществление образовательной деятельности по новому для них уровню образования, виду образования и подвидам дополнительного образования согласно записи в реестре лицензий на осуществление образовательной деятельно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сти, - в срок не позднее чем в течение одного года со дня получения права осуществления такой деятельности.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образования направляет контролируемому лицу уведомление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проведении обязательного профилактического визита не позднее чем за 5 рабочих дней до дня его проведения. Уведомление 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проведении обязательного профилактического визита направляется контролируемому лицу по почте и (или) электронной почте (при наличии).</w:t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пунктами 13, 21 – 25 Поло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жения о ФГКН № 997, в 2024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проведено 6 профилактических визитов, из которых: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– в отношении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контролируемых лиц, получивших лицензию на осуществление образовательной деятельности;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– по инициативе контролируемого лица.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Профилактический визит проведен в соответствии с установленным сроком, указанным в уведомлении о проведении проф. визита.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оде профилактическ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ого визита контролируемое лицо проинформировано об обязательных требованиях, предъявляемых к их деятельности, к принадлежащим им объектам контроля, их соответствии критериям риска, основаниях и о рекомендуемых способах снижения категории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риска, а также о видах, содержании и интенсивности контрольных (надзорных) мероприятий, проводимых в отношении объекта контроля, исходя из его отнесения к соответствующей категории риска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6)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Меры стимулирования добросовестности.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целях мотивации контролируемых лиц к соблюдению обязательных требований ежегодно проводится мероприятия, направленные на нематериальное поощрение добросовестных контролируемых лиц (меры стимулирования добросовестност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и).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К критериям добросовестности контролируемого лица относятся: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выполнение контролируемым лицом аккредитационных показателей, установленных по результатам аккредитационного мониторинга, предусмотренного частью 3 статьи 97 Федерального закона «Об образовании в Российской Федерации»;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своевременность представления контролируемым лицом сведений в информационные системы в системе образования, предусмотренные частями 2 и 9 статьи 98 Федерального закона «Об образовании в Российской Федерации»;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выполнение контролируемым лицом не менее 100 процентов показателей мониторинга системы образования, проводимого контрольным (надзорным) органом в сфере образования.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Информация об оценке добросовестности контролируемых лиц размещается на официальном сайте департамента образования </w:t>
      </w:r>
      <w:r>
        <w:rPr>
          <w:rFonts w:ascii="Times New Roman" w:hAnsi="Times New Roman" w:cs="Times New Roman"/>
          <w:color w:val="0070c0"/>
          <w:sz w:val="28"/>
          <w:szCs w:val="28"/>
        </w:rPr>
      </w:r>
      <w:hyperlink r:id="rId20" w:tooltip="https://komobr-eao.ru" w:history="1">
        <w:r>
          <w:rPr>
            <w:rStyle w:val="893"/>
            <w:rFonts w:ascii="Times New Roman" w:hAnsi="Times New Roman" w:cs="Times New Roman"/>
            <w:color w:val="0070c0"/>
            <w:sz w:val="28"/>
            <w:szCs w:val="28"/>
          </w:rPr>
          <w:t xml:space="preserve">https://komobr-eao.ru</w:t>
        </w:r>
      </w:hyperlink>
      <w:r>
        <w:rPr>
          <w:rFonts w:ascii="Times New Roman" w:hAnsi="Times New Roman" w:cs="Times New Roman"/>
          <w:color w:val="558ed4" w:themeColor="text2" w:themeTint="9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подразделе «Федеральный государственный контроль (надзор) в сфере образования»/ «Профилактика нарушений обязательных требований». </w:t>
      </w:r>
      <w:r>
        <w:rPr>
          <w:rFonts w:ascii="Times New Roman" w:hAnsi="Times New Roman" w:cs="Times New Roman"/>
          <w:color w:val="558ed4" w:themeColor="text2" w:themeTint="9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Мера стимулирования добросовестности контролируемого лица, признанного соответствующим критерию добросовестности, осуществляется в виде понижения категории риска объекта контроля на одну категорию.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Решение об изменении категории риска объекта контроля контролируемого лица, признанного соответствующим одновременно всем критериям добросовестности, принимается в течение 5 рабочих дней со дня размещения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на официальном сайте информации об оценке добросовестности контролируемых лиц.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pStyle w:val="892"/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  <w:t xml:space="preserve">С целью обсуждения актуальных вопросов по соблюдению требований законодательства об образовании </w:t>
      </w:r>
      <w:r>
        <w:rPr>
          <w:color w:val="000000" w:themeColor="text1"/>
          <w:sz w:val="28"/>
          <w:szCs w:val="28"/>
        </w:rPr>
        <w:t xml:space="preserve">с руководителями муниципальных органов управления образованием, руководителями профессиональных организаций, подведомственных департаменту образования проведены </w:t>
      </w:r>
      <w:r>
        <w:rPr>
          <w:bCs/>
          <w:color w:val="000000" w:themeColor="text1"/>
          <w:sz w:val="28"/>
          <w:szCs w:val="28"/>
        </w:rPr>
        <w:t xml:space="preserve">совещания по данным тематикам: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8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«Использование ресурсов Программы профилактики нарушений законодательства об образовании для повышения эффективности управления качеством образования»;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717"/>
        <w:ind w:left="0" w:firstLine="708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размещении и обновлении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информации на официальных сайтах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firstLine="708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«О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 обновлени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 на 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в части приема в образовательные организации;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17"/>
        <w:ind w:firstLine="708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размещении сведений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«О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официальных сайтах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реализуемых образовательных программах»</w:t>
      </w:r>
      <w:r>
        <w:rPr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Запланированные мероприятия по профилактике нарушений обязательных требований законодательства Российской Федерации в сфере образования в соответствии с Программой профилактики рисков причинения вреда на 2024 год выполнены в полном объеме.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680"/>
        <w:jc w:val="both"/>
        <w:spacing w:after="0" w:line="240" w:lineRule="auto"/>
        <w:widowControl w:val="off"/>
        <w:tabs>
          <w:tab w:val="left" w:pos="900" w:leader="none"/>
        </w:tabs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1.3. Характеристика проблем, на решение которых направлена программа профилактики</w:t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контрольных (надзорных) мероприятий, в частности проведения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наблюдения за соблюдением обязательных требований законодательства об образовании (мониторинга безопасности)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выявлены следующие типичные нарушения обязательных требований, установленных законодательством об образовании (риски образовательной деятельности):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1. Нарушение обязательных требов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аний к размещению  и обновлению информации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част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ь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2 статьи 29 Федерального закона № 273-ФЗ «Об образовании в Российской Федерации,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пункт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ы 3.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1-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3.4, 3.7, 3.10-3.13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Требований к структуре официального сайта образовательной организации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формату представления информации, утвержденных приказом Федеральной службы по надзору в сфере образования и науки от 14.08.2020 № 831,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Правила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утвержденные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20.10.2021 № 1802):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1.1.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подраздел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none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Основные сведения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none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не содержит информацию: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дате создания образовательной организации;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учредителе (учредителях) образовательной организации;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местах осуществления образовательной деятельности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tabs>
          <w:tab w:val="left" w:pos="709" w:leader="none"/>
        </w:tabs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1.2.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Структура и органы управления образовательной организацией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информацию: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местах нахождения структурных подразделений (органов управления) образовательной организации (при наличии структурных подразделений (органов управления);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адресах официальных сайтов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структурных подразделений (органов управления) образовательной организации (при наличии официальных сайтов);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положениях о структурных подразделениях (об органах управления) образовательной организации с приложением указанных положений в виде электронных документов, подписанных электронной подписью в соответствии с Федеральным законом от 6 апреля 2011 г.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электронной подписи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(при наличии структурных подразделений (органов управления).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1.3.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Руководство. Педагогический (научно-педагогический) состав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не содержит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информацию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персональном составе педагогических работников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квалификация;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направления подготовки и (или) специальности;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стаж работы;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стаж работы по специальности/ сведения о продолжительности опыта (лет) работы в профессиональной сфере.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1.4. в подразделе «Образование» образовательные программы не подписаны простой электронной подписью.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Финансово-хозяйственная деятельность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не содержит актуальную информацию: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информацию об объеме образовательной деятельности, финансовое обеспечение которой осуществляется: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бюджетных ассигнований федерального бюджета;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бюджетов субъектов Российской Федерации;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местных бюджетов;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об оказании платных образовательных услуг;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информацию о поступлении финансовых и материальных средств по итогам финансового года;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информацию о расходовании финансовых и материальных средств по итогам финансового года;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копию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1.6.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Материально-техническое обеспечение и оснащенность образовательного процесса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не содержит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сведени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условиях охраны здоровья обучающихся;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доступе к информационным системам и информационно-телекоммуникационным сетям;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электронных образовательных ресурсах, к которым обеспечивается доступ обучающихся,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а также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собственных электронных образовательных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информационных ресурсах (при наличии)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17"/>
        <w:ind w:firstLine="709"/>
        <w:jc w:val="both"/>
        <w:spacing w:after="0" w:afterAutospacing="0" w:line="240" w:lineRule="auto"/>
        <w:tabs>
          <w:tab w:val="left" w:pos="851" w:leader="none"/>
          <w:tab w:val="left" w:pos="1134" w:leader="none"/>
          <w:tab w:val="left" w:pos="1276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</w:rPr>
        <w:t xml:space="preserve">2.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Нарушение обязательных требований к размещению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информации о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приеме на обучение по образовательным программам среднего профессионального образования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на официальных сайтах профессиональных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образовательных организаций в информационно-телекоммуникационной сети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» (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пункты 16, 18, 19, 21.2, 24, 32, 44, 45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приказом Минпросвещения России 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02.09.2020 № 457):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 w:afterAutospacing="0" w:line="240" w:lineRule="auto"/>
        <w:tabs>
          <w:tab w:val="left" w:pos="851" w:leader="none"/>
          <w:tab w:val="left" w:pos="1134" w:leader="none"/>
          <w:tab w:val="left" w:pos="1276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нарушение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пункта 18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приказом 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инпросвещения России от 02.09.2020 № 457, на официальном сайте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образовательной организации не размещена информация: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количество мест, финансируемых за счет бюджетных ассигнований -федерального бюджета, бюджетов субъектов Российской Федерации, местных бюджетов по каждой специальности (профессии), в том числе по различным формам обучения;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количество мест по каждой специальности (профессии) по договорам об оказании платных образовательных услуг, в том числе по различным формам обучения;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образец договора об оказании платных образовательных услуг.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нарушение пункта 19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приказом Минпросвещения России от 02.09.2020 № 457,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официальном сайте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образовательной организации: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не размещены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сведения о количестве поданных заявлений по каждой специальности (профессии) с указанием форм обучени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я (очная, очно-заочная, заочная) (ежедневные);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отсутствует раздел для ответов на обращения, связанные с приемом в образовательную организацию.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2.3. в нарушение пункта 45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приказом Минпросвещения России от 02.09.2020 № 457,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при приеме на обучение по образовательным программам образовательной организацией не учитываются следующие результаты индивидуальных достижений: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аличие статуса победителя или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 соответствии с постановлением Правительства Российской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Федерации от 17 ноября 2015 г. № 1239 "Об утверждении Правил выявления детей, проявивших выдающиеся способности, сопровождения и мониторинга их дальнейшего развития";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наличие у поступающего статуса победителя или призера отборочного этапа или финала чемпионата высоких технологий, национального открытого чемпионата творческих компетен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ций "АртМастерс (Мастера Искусств)"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аличие у поступающего статуса чемпиона или призера Олимпийских игр, Паралимпийских игр и Сурдлимпийских игр, чемпиона мира, чемпиона Европы, лица, занявшего первое место на первенстве мира, первенстве Европы по видам спорта, включенным в программы Олимпийс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ких игр, Паралимпийских игр и Сурдлимпийских игр;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Парал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нарушение пункта 32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приказом Минпросвещения России от 02.09.2020 № 457,  локальным актом не определены критерии оценивания результатов вступительных испытаний (раздел 5.4 Правил приема в ОО);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импийских игр и Сурдлимпийских игр.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2.4.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нарушение пункта 45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приказом Минпросвещения России от 02.09.2020 № 457: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851" w:leader="none"/>
          <w:tab w:val="left" w:pos="1134" w:leader="none"/>
          <w:tab w:val="left" w:pos="1276" w:leader="none"/>
        </w:tabs>
        <w:rPr>
          <w:rFonts w:ascii="Times New Roman" w:hAnsi="Times New Roman" w:cs="Times New Roman"/>
          <w:b w:val="0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 приеме на обучение не учтен результат индивидуальных достижений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  <w:r>
        <w:rPr>
          <w:rFonts w:ascii="Times New Roman" w:hAnsi="Times New Roman" w:cs="Times New Roman"/>
          <w:b w:val="0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Главными причинами рисков образовательной деятельности являются: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отсутствие необходимых знаний к требованиям действующего законодательства в сфере образования у участников образовательных отношений;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недостаточная информированность участни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ков отношений в сфере образования о содержании новых нормативных актов, устанавливающих обязательные требования законодательства в сфере образования, о внесенных изменениях в действующие нормативные правовые акты, сроках и порядке вступления их в действие;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не добросовестное выполнение своих должностных обязанностей руководителей организаций, осуществляющих образовательную деятельность, в части соблюдения обязательных требований законодательства Российской Федерации в сфере образования;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отсутствие должного контроля со стороны учредителя за соблюдением подведомственными образовательными организациями обязательных требований законодательства Российской Федерации в сфере образования.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Для того чтобы в региональной системе образования не создавались ситуации, провоцирующие появление рисков образовательной деятельности, необходимо упр</w:t>
      </w:r>
      <w:r>
        <w:rPr>
          <w:color w:val="000000" w:themeColor="text1"/>
          <w:sz w:val="28"/>
          <w:szCs w:val="28"/>
        </w:rPr>
        <w:t xml:space="preserve">авлять вышеуказанными рисками, то есть осуществлять профилактику, направленную на предупреждение нарушений обязательных требований законодательства Российской Федерации в сфере образования, устранение факторов развития рисков образовательной деятельности.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Поэтому приоритетным направлением в своей деятельн</w:t>
      </w:r>
      <w:r>
        <w:rPr>
          <w:color w:val="000000" w:themeColor="text1"/>
          <w:sz w:val="28"/>
          <w:szCs w:val="28"/>
        </w:rPr>
        <w:t xml:space="preserve">ости при осуществлении государственного контроля (надзора) в сфере образования  департамент образования на 2025 год определяет меры по предупреждению и устранению причин, факторов и условий нарушений обязательных требований законодательства об образовании: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информирование контролируемых лиц по вопросам соблюдения обязательных требований законодательства об образовании;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обобщение правоприменительной практики;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объявление предостережений о недопустимости нарушений обязательных требований законодательства Российской Федерации в сфере образования;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консультирование контролируемых лиц по вопросам, связанных с организацией и осуществлением государственного контроля (надзора) в сфере образования.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проведение профилактических визитов;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проведение совещаний, коллегий с руководителями и заместителями руководителей организаций, осуществляющих образовательную деятельность, органов местного самоуправления, осуществляющих управление в сфере образования.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Анализ выше</w:t>
      </w:r>
      <w:r>
        <w:rPr>
          <w:color w:val="000000" w:themeColor="text1"/>
          <w:sz w:val="28"/>
          <w:szCs w:val="28"/>
        </w:rPr>
        <w:t xml:space="preserve">указанной деятельности департамента образования показывает правильность выбора – реализацию системы мероприятий по предупреждению и устранению нарушений обязательных требований законодательства Российской Федерации в сфере образования, что подтверждается: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тематикой вопросов при проведении консультаций, совещаний с  руководителями организаций, осуществляющих образовательную деятельность (повышение уровня правовой культуры руководителей);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снижением степени тяжести выявляемых нарушений обязательных требований законодательства Российской Федерации в сфере образования.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jc w:val="both"/>
        <w:rPr>
          <w:rFonts w:eastAsia="Times New Roman"/>
          <w:color w:val="ff0000"/>
          <w:sz w:val="28"/>
          <w:szCs w:val="28"/>
        </w:rPr>
      </w:pPr>
      <w:r>
        <w:rPr>
          <w:rFonts w:eastAsia="Times New Roman"/>
          <w:color w:val="ff0000"/>
          <w:sz w:val="28"/>
          <w:szCs w:val="28"/>
        </w:rPr>
        <w:tab/>
      </w:r>
      <w:r>
        <w:rPr>
          <w:rFonts w:eastAsia="Times New Roman"/>
          <w:color w:val="ff0000"/>
          <w:sz w:val="28"/>
          <w:szCs w:val="28"/>
        </w:rPr>
      </w:r>
      <w:r>
        <w:rPr>
          <w:rFonts w:eastAsia="Times New Roman"/>
          <w:color w:val="ff0000"/>
          <w:sz w:val="28"/>
          <w:szCs w:val="28"/>
        </w:rPr>
      </w:r>
    </w:p>
    <w:p>
      <w:pPr>
        <w:pStyle w:val="89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Раздел 2.</w:t>
      </w:r>
      <w:r>
        <w:rPr>
          <w:b/>
          <w:bCs/>
          <w:color w:val="000000" w:themeColor="text1"/>
          <w:sz w:val="28"/>
          <w:szCs w:val="28"/>
        </w:rPr>
        <w:t xml:space="preserve"> Цели и задачи Программы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892"/>
        <w:ind w:left="1080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Цели и задачи Программы профилактики на 2025 год определены на основании анализа состояния подконтрольной среды и направлены на минимизацию рисков образовательной деятельности в региональной системе образования.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Целью Программы профилактики является: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требований, установленных законодат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ельством Российской Федерации об образовании, в том числе лицензионных требований к образовательной деятельности и требований, установленных федеральными государственными образовательными стандартами, и требований к выполнению аккредитационных показателей;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устранение причин, факторов и условий, способствующих нарушениям требований законодательства в сфере образования;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повышение прозрачности осуществления департаментом образования федерального государственного контроля (надзора) в сфере образования;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снижение издержек контрольной (надзорной) деятельности и административной нагрузки на подконтрольные субъекты;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регулярная ревизия обязательных требований и принятие мер к обеспечению реального влияния на повышение качества образования комплекса обязательных требований, соблюдение которых составляет предмет государственного контроля (надзора) в сфере образования.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Задачами Программы профилактики являются: 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формирование единого понимания обязательных требований у всех участников контрольной (надзорной) деятельности;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актуализация обязательных требова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ний законодательства Российской Федерации в сфере образования, информирование и консультирование контролируемых и иных заинтересованных лиц по вопросам соблюдения обязательных требований, установленных законодательством Российской Федерации об образовании;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установление и оценка зависимости видов, форм и интенсивности профилактических мероприятий от особенностей конкретных объектов контроля (контролируемых лиц) и присвоенной им категории риска, проведение профилактических мероприятий с учетом данных факторов;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снижение количества нарушений обязательных требований, выявляемых в ходе осуществления департамента образования мероприятий по федеральному государственному контролю (надзору) в сфере образования.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Раздел 3. Перечень профилактических мероприятий,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сроки (периодичность) их проведения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tbl>
      <w:tblPr>
        <w:tblStyle w:val="894"/>
        <w:tblW w:w="14992" w:type="dxa"/>
        <w:tblLayout w:type="fixed"/>
        <w:tblLook w:val="04A0" w:firstRow="1" w:lastRow="0" w:firstColumn="1" w:lastColumn="0" w:noHBand="0" w:noVBand="1"/>
      </w:tblPr>
      <w:tblGrid>
        <w:gridCol w:w="697"/>
        <w:gridCol w:w="3664"/>
        <w:gridCol w:w="2249"/>
        <w:gridCol w:w="18"/>
        <w:gridCol w:w="1967"/>
        <w:gridCol w:w="3279"/>
        <w:gridCol w:w="3118"/>
      </w:tblGrid>
      <w:tr>
        <w:tblPrEx/>
        <w:trPr>
          <w:trHeight w:val="1299"/>
        </w:trPr>
        <w:tc>
          <w:tcPr>
            <w:tcW w:w="6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Форма профилактического мероприятия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Срок (периодичность) проведения мероприятия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Адресат мероприятия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Ожидаемый результат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Ответственный исполнитель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1. Информирование подконтрольных субъектов и иных заинтересованных лиц по вопросам соблюдения обязательных требований,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установленных законодательством Российской Федерации об образовании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ind w:firstLine="0"/>
              <w:jc w:val="both"/>
              <w:spacing w:before="0" w:beforeAutospacing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 и размещение на официальном сайте  департамента образования сведений, предусмотренных частью 3 статьи 46 Федерального закона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от 31.07.2020 . № 248-ФЗ «О государственном контроле (надзоре) и муниципальном контроле в Российской Федерации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120" w:line="240" w:lineRule="exac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течение года 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(по мере внесения изменений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 нормативные правовые акты, издания соответствующих документов)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Размещение сообщений о содержании новых нормативных правовых актов, ус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танавливающих обязательные требования, комментариев о внесении изменений в действующие нормативные правовые акты, о сроках и порядке вступления их в действие на официальном сайте департамента образования в информационно-телекоммуникационной сети «Интернет»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gridSpan w:val="2"/>
            <w:tcW w:w="226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 течение 15 дней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со дня утверждения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19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cantSplit/>
        </w:trPr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Подготовка информационных,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инструктивно-методических писем по вопросам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федерального государственного контроля (надзора)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22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 мере необходимости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19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spacing w:before="0" w:beforeAutospacing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Участие в проведении собеседований с руководителями органов местного сам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оуправления, осуществляющих управление в сфере образования, руководителями организаций, осуществляющих образовательную деятельность, подведомственных  департаменту образованию по вопросам федерального государственного контроля (надзора) в сфере образования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2267" w:type="dxa"/>
            <w:textDirection w:val="lrTb"/>
            <w:noWrap w:val="false"/>
          </w:tcPr>
          <w:p>
            <w:pPr>
              <w:jc w:val="center"/>
              <w:spacing w:before="120" w:line="240" w:lineRule="exac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реже 1 раза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в полугодие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9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Карепов И.В.,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департамента;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Актуализация и размещение информации о типичных нарушениях обязательных требований законодательства об образовании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на официальном сайте департамента образования в информационно-телекоммуникационной сети «Интернет»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обновление – ежеквартально (до 30 числа текущего месяца)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Размещение на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официальном сайте департамента образования в информационно-телекоммуникационной сети «Интернет» информации о сроках проведения контрольных (надзорных) мероприятии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их результатах, о принятых решениях по результатам проведения контрольных (надзорных) мероприятий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реже 1 раза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месяц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 проведении контрольных надзорных мероприятий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работы «Горячей линии» по актуальным вопросам соблюдения законодательства Российской Федерации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течение года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вопросам соблюдения законодательства Российской Федерации в сфере образования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Привлечение аттестованных экспертов к осуществлению экспертизы в целях проведения контрольных (надзорных) мероприятий в части федерального государственного контроля (надзора) в сфере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необходимости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эксперты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обеспечение прозрачности проведения контрольных надзорных мероприятий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2. Обобщение и анализ правоприменительной практики осуществления в установленной сфере деятельности государственного контроля (надзора), в том числе выделение наиболее часто встречающихся случаев нарушений обязательных требований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 статистической информации о количестве проведенных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 реже 1раза в полугодие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Размещение статистической информации о количестве проведенных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течение 3 рабочих дней после представления материала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Подготовка проекта обобщения и анализа правоприменительной практики контрольной надзорной деятельности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до 1 марта 2025 года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и проведение публичного обсуждения результатов правоприменительной практики законодательства об образовании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до 15 июня 2025 года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образования;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Размещение доклада обобщения и анализа правоприменительной практики контрольной (надзорной) деятельности на официальном сайте департамента образования в информационно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 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телекоммуникационной сети «Интернет»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до 15 марта 2025 года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gridSpan w:val="7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3. Объявление предостережений о недопустимости нарушения обязательных требований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Составление предостережений о недопустимости нарушения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соблюдения обязательных требований, устано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вленных законодательством Российской Федерации об образовании, в том числе соблюдения обязательных лицензионных требований при осуществлении образовательной деятельности и требований, установленных федеральными государственными образовательными стандартами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 мере необходимости, в соответствии с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постановлением Правительства РФ от 10.02.2017 № 166 «Об утверждении Правил составления и направления предостережения о недопустимости 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арушения обязательных требований и требований, установленных муниципальными правовыми актами,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предостережения»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предупреждение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Направление предостережений о недопустимости нарушения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соблюдения обязательных требований, устано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вленных законодательством Российской Федерации об образовании, в том числе соблюдения обязательных лицензионных требований при осуществлении образовательной деятельности и требований, установленных федеральными государственными образовательными стандартами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 мере необходимости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предупреждение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63"/>
        </w:trPr>
        <w:tc>
          <w:tcPr>
            <w:gridSpan w:val="7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4. Консультирование контролируемых лиц и их представителей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Проведение консультационной и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разъяснительной работы по вопросам, связанных с организацией и осуществлением государственного контроля (надзора):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 порядком проведения КНМ;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периодичностью проведения КНМ;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 порядком принятии решения по итогам КНМ;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порядком обжалования решений КНМ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(на личном приеме)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ежедневно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09:00-13:00,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14:00-18:00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г. Биробиджан, ул. Калинина, 19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spacing w:before="0" w:beforeAutospacing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Осуществление консультирования контролируемых лиц и их представителей в виде устных разъяснений в ходе проведения профилактических визитов по вопросам, связанным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с организацией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и осуществлением федерального государственного контроля (надзора)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spacing w:before="0" w:beforeAutospacing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-порядком проведения КНМ;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both"/>
              <w:spacing w:before="0" w:beforeAutospacing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периодичностью проведения КНМ;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both"/>
              <w:spacing w:before="0" w:beforeAutospacing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 порядком принятии решения по итогам КНМ;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both"/>
              <w:spacing w:before="0" w:beforeAutospacing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порядком обжалования решений КНМ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0" w:beforeAutospacing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при поступлении обращений контролируемого лица о проведении консультирования, в том числе в рамках профилактического визита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r>
          </w:p>
          <w:p>
            <w:pPr>
              <w:spacing w:before="0" w:beforeAutospacing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spacing w:before="0" w:beforeAutospacing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Осуществление ко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нсультирования контролируемых лиц и их представителей посредством размещения на официальном сайте  департамента образования письменных разъяснений по однотипным обращениям подконтрольных субъектов в случае поступления от них 10 и более однотипных обращений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120" w:line="240" w:lineRule="exact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по мере поступления однотипных обращений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gridSpan w:val="7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5. Профилактический визит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ind w:left="360" w:firstLine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gridSpan w:val="6"/>
            <w:tcW w:w="14295" w:type="dxa"/>
            <w:textDirection w:val="lrTb"/>
            <w:noWrap w:val="false"/>
          </w:tcPr>
          <w:p>
            <w:pPr>
              <w:pStyle w:val="892"/>
              <w:jc w:val="center"/>
              <w:rPr>
                <w:bCs/>
                <w:color w:val="000000" w:themeColor="text1"/>
              </w:rPr>
            </w:pPr>
            <w:r>
              <w:rPr>
                <w:b/>
                <w:bCs/>
                <w:i/>
                <w:color w:val="000000" w:themeColor="text1"/>
              </w:rPr>
              <w:t xml:space="preserve">Проведение профилактических визитов в форме профилактической беседы в отношении контролируемых лиц</w:t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профилактических визитов в форме профилактической беседы в отношении контролируемых лиц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инициативе подконтрольного субъекта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ind w:left="360" w:firstLine="0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gridSpan w:val="6"/>
            <w:tcW w:w="14295" w:type="dxa"/>
            <w:vMerge w:val="restart"/>
            <w:textDirection w:val="lrTb"/>
            <w:noWrap w:val="false"/>
          </w:tcPr>
          <w:p>
            <w:pPr>
              <w:pStyle w:val="892"/>
              <w:jc w:val="center"/>
              <w:rPr>
                <w:b/>
                <w:bCs/>
                <w:i/>
                <w:color w:val="000000" w:themeColor="text1"/>
                <w:highlight w:val="none"/>
              </w:rPr>
            </w:pPr>
            <w:r>
              <w:rPr>
                <w:b/>
                <w:bCs/>
                <w:i/>
                <w:color w:val="000000" w:themeColor="text1"/>
              </w:rPr>
              <w:t xml:space="preserve">Проведение профилактических визитов в форме профилактической беседы в отношении контролируемых лиц, получивших лицензию на осуществление обра</w:t>
            </w:r>
            <w:r>
              <w:rPr>
                <w:b/>
                <w:bCs/>
                <w:i/>
                <w:color w:val="000000" w:themeColor="text1"/>
              </w:rPr>
              <w:t xml:space="preserve">зовательной деятельности</w:t>
            </w:r>
            <w:r>
              <w:rPr>
                <w:b/>
                <w:bCs/>
                <w:i/>
                <w:color w:val="000000" w:themeColor="text1"/>
                <w:highlight w:val="none"/>
              </w:rPr>
            </w:r>
            <w:r>
              <w:rPr>
                <w:b/>
                <w:bCs/>
                <w:i/>
                <w:color w:val="000000" w:themeColor="text1"/>
                <w:highlight w:val="none"/>
              </w:rPr>
            </w:r>
          </w:p>
          <w:p>
            <w:pPr>
              <w:pStyle w:val="892"/>
              <w:jc w:val="center"/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i/>
                <w:color w:val="ff0000"/>
                <w:highlight w:val="none"/>
              </w:rPr>
            </w:r>
            <w:r>
              <w:rPr>
                <w:b/>
                <w:bCs/>
                <w:i/>
                <w:color w:val="ff0000"/>
              </w:rPr>
            </w:r>
            <w:r>
              <w:rPr>
                <w:b/>
                <w:bCs/>
                <w:i/>
                <w:color w:val="ff0000"/>
              </w:rPr>
            </w:r>
          </w:p>
        </w:tc>
      </w:tr>
      <w:tr>
        <w:tblPrEx/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Муниципальное бюджетное дошкольное образовательное учреждение «Детский сад № 4 п. Николаевка»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679170, ЕАО, Смидовичский район, п. Николаевка, ул .Комсомольская, 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С.В.,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Т.Н.,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Индивидуальный предприниматель Мазурова Евгения Викторовна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679015, ЕАО,  г. Биробиджан, ул. Советская, 59, кв.25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W w:w="3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С.В.,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Т.Н.,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Общество с ограниченной ответственностью   "Реабилитационный центр Гербер"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679016, ЕАО,  г. Биробиджан,  пр-кт 60-летия СССР, д.1, пом. 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С.В.,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Т.Н.,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gridSpan w:val="7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6. Специальные мероприятия по профилактике нарушений обязательных требований,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установленные законодательством об образовании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Организация и проведение мероприятий (совещания, семинары, вебинары, «круглые столы») по вопросам соблюдения контролируемыми лицами обязательных требований законодательства Российской Федерации в сфере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89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ежеквартально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Участие в реализации дополнительных профессиональных программ на базе учреждений дополнительного профессионального образования для руководителей и педагогических работников организаций, осуществляющих образовательную деятельность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в течение года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pStyle w:val="892"/>
              <w:jc w:val="both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Подготовка и утверждение программы </w:t>
            </w:r>
            <w:r>
              <w:rPr>
                <w:bCs/>
                <w:color w:val="000000" w:themeColor="text1"/>
              </w:rPr>
              <w:t xml:space="preserve">профилактики рисков причинения вреда (ущерба) </w:t>
            </w:r>
            <w:r>
              <w:rPr>
                <w:color w:val="000000" w:themeColor="text1"/>
              </w:rPr>
              <w:t xml:space="preserve">охраняемым законом ценностям департамента образования </w:t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Еврейской автономной области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2026 год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20 декабря 2025 года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отдела контроля и надзора в сфере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92"/>
        <w:rPr>
          <w:b/>
          <w:bCs/>
          <w:color w:val="ff0000"/>
          <w:sz w:val="23"/>
          <w:szCs w:val="23"/>
        </w:rPr>
        <w:sectPr>
          <w:footnotePr/>
          <w:endnotePr/>
          <w:type w:val="nextPage"/>
          <w:pgSz w:w="16838" w:h="11906" w:orient="landscape"/>
          <w:pgMar w:top="1701" w:right="1134" w:bottom="851" w:left="1134" w:header="709" w:footer="709" w:gutter="0"/>
          <w:cols w:num="1" w:sep="0" w:space="708" w:equalWidth="1"/>
          <w:docGrid w:linePitch="360"/>
        </w:sectPr>
      </w:pPr>
      <w:r>
        <w:rPr>
          <w:b/>
          <w:bCs/>
          <w:color w:val="ff0000"/>
          <w:sz w:val="23"/>
          <w:szCs w:val="23"/>
        </w:rPr>
      </w:r>
      <w:r>
        <w:rPr>
          <w:b/>
          <w:bCs/>
          <w:color w:val="ff0000"/>
          <w:sz w:val="23"/>
          <w:szCs w:val="23"/>
        </w:rPr>
      </w:r>
      <w:r>
        <w:rPr>
          <w:b/>
          <w:bCs/>
          <w:color w:val="ff0000"/>
          <w:sz w:val="23"/>
          <w:szCs w:val="23"/>
        </w:rPr>
      </w:r>
    </w:p>
    <w:p>
      <w:pPr>
        <w:pStyle w:val="892"/>
        <w:jc w:val="center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bCs/>
          <w:color w:val="000000" w:themeColor="text1"/>
          <w:sz w:val="28"/>
          <w:szCs w:val="28"/>
        </w:rPr>
        <w:t xml:space="preserve">Раздел 4. Показатели результативности и эффективности </w:t>
      </w:r>
      <w:r>
        <w:rPr>
          <w:b/>
          <w:color w:val="000000" w:themeColor="text1"/>
          <w:sz w:val="28"/>
          <w:szCs w:val="28"/>
        </w:rPr>
        <w:t xml:space="preserve">Программы профилактики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92"/>
        <w:jc w:val="left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</w:rPr>
        <w:t xml:space="preserve">Отчетными показателями результативности и эффективности мероприятий Программы профилактики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рисков причинения вреда (ущерба) охраняемым законом ценностям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</w:rPr>
        <w:t xml:space="preserve"> являются: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spacing w:after="0" w:afterAutospacing="0" w:line="240" w:lineRule="auto"/>
        <w:rPr>
          <w:b w:val="0"/>
          <w:bCs w:val="0"/>
          <w:color w:val="000000" w:themeColor="text1"/>
          <w:highlight w:val="none"/>
        </w:rPr>
        <w:suppressLineNumbers w:val="0"/>
      </w:pPr>
      <w:r>
        <w:rPr>
          <w:b w:val="0"/>
          <w:bCs w:val="0"/>
          <w:color w:val="000000" w:themeColor="text1"/>
          <w:sz w:val="28"/>
          <w:szCs w:val="28"/>
        </w:rPr>
        <w:t xml:space="preserve">1. Актуализация перечней нормативных правовых актов или их отдельных частей, содер</w:t>
      </w:r>
      <w:r>
        <w:rPr>
          <w:b w:val="0"/>
          <w:bCs w:val="0"/>
          <w:color w:val="000000" w:themeColor="text1"/>
          <w:sz w:val="28"/>
          <w:szCs w:val="28"/>
        </w:rPr>
        <w:t xml:space="preserve">жащих обязательные требований, соблюдение которых оценивается департаментом образования при проведении мероприятий в рамках федерального государственного </w:t>
      </w:r>
      <w:r>
        <w:rPr>
          <w:b w:val="0"/>
          <w:bCs w:val="0"/>
          <w:color w:val="000000" w:themeColor="text1"/>
          <w:sz w:val="28"/>
          <w:szCs w:val="28"/>
        </w:rPr>
        <w:t xml:space="preserve">контроля (надзора) в сфере образования, отнесенных к компетенции департамента образования</w:t>
      </w:r>
      <w:r>
        <w:rPr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b w:val="0"/>
          <w:bCs w:val="0"/>
          <w:color w:val="000000" w:themeColor="text1"/>
          <w:highlight w:val="none"/>
        </w:rPr>
      </w:r>
      <w:r>
        <w:rPr>
          <w:b w:val="0"/>
          <w:bCs w:val="0"/>
          <w:color w:val="000000" w:themeColor="text1"/>
          <w:highlight w:val="none"/>
        </w:rPr>
      </w:r>
    </w:p>
    <w:p>
      <w:pPr>
        <w:pStyle w:val="892"/>
        <w:ind w:firstLine="709"/>
        <w:jc w:val="both"/>
        <w:spacing w:after="0" w:afterAutospacing="0" w:line="240" w:lineRule="auto"/>
        <w:rPr>
          <w:bCs/>
          <w:color w:val="000000" w:themeColor="text1"/>
        </w:rPr>
        <w:suppressLineNumbers w:val="0"/>
      </w:pPr>
      <w:r>
        <w:rPr>
          <w:b w:val="0"/>
          <w:bCs w:val="0"/>
          <w:color w:val="000000" w:themeColor="text1"/>
          <w:sz w:val="28"/>
          <w:szCs w:val="28"/>
        </w:rPr>
        <w:t xml:space="preserve">2. Проведение конференций, семинаров, вебинаров, совещаний для подконтрольных субъектов по актуальным вопросам контрольной (надзорной) деятельности в сфере образования</w:t>
      </w:r>
      <w:r>
        <w:rPr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bCs/>
          <w:color w:val="000000" w:themeColor="text1"/>
        </w:rPr>
      </w:r>
      <w:r>
        <w:rPr>
          <w:bCs/>
          <w:color w:val="000000" w:themeColor="text1"/>
        </w:rPr>
      </w:r>
    </w:p>
    <w:p>
      <w:pPr>
        <w:pStyle w:val="892"/>
        <w:ind w:firstLine="709"/>
        <w:jc w:val="both"/>
        <w:spacing w:after="0" w:afterAutospacing="0" w:line="240" w:lineRule="auto"/>
        <w:rPr>
          <w:b w:val="0"/>
          <w:bCs w:val="0"/>
          <w:color w:val="000000" w:themeColor="text1"/>
        </w:rPr>
        <w:suppressLineNumbers w:val="0"/>
      </w:pPr>
      <w:r>
        <w:rPr>
          <w:b w:val="0"/>
          <w:bCs w:val="0"/>
          <w:color w:val="000000" w:themeColor="text1"/>
          <w:sz w:val="28"/>
          <w:szCs w:val="28"/>
        </w:rPr>
        <w:t xml:space="preserve">3. Составление предостережений о недопустимости нарушения </w:t>
      </w:r>
      <w:r>
        <w:rPr>
          <w:b w:val="0"/>
          <w:bCs w:val="0"/>
          <w:color w:val="000000" w:themeColor="text1"/>
          <w:sz w:val="28"/>
          <w:szCs w:val="28"/>
        </w:rPr>
        <w:t xml:space="preserve">соблюдения обязательных требований, установленных законодательством Российской Федерации об образовании</w:t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p>
      <w:pPr>
        <w:pStyle w:val="892"/>
        <w:ind w:firstLine="708"/>
        <w:jc w:val="both"/>
        <w:spacing w:after="0" w:afterAutospacing="0" w:line="240" w:lineRule="auto"/>
        <w:rPr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b w:val="0"/>
          <w:bCs w:val="0"/>
          <w:color w:val="000000" w:themeColor="text1"/>
          <w:sz w:val="28"/>
          <w:szCs w:val="28"/>
        </w:rPr>
        <w:t xml:space="preserve">4. </w:t>
      </w:r>
      <w:r>
        <w:rPr>
          <w:b w:val="0"/>
          <w:bCs w:val="0"/>
          <w:color w:val="000000" w:themeColor="text1"/>
          <w:sz w:val="28"/>
          <w:szCs w:val="28"/>
        </w:rPr>
        <w:t xml:space="preserve">Проведение консультаций по вопросам, связанных с организацией и осуществлением государственного контроля (надзора) (на личном приеме или </w:t>
      </w:r>
      <w:r>
        <w:rPr>
          <w:b w:val="0"/>
          <w:bCs w:val="0"/>
          <w:color w:val="000000" w:themeColor="text1"/>
          <w:sz w:val="28"/>
          <w:szCs w:val="28"/>
        </w:rPr>
        <w:t xml:space="preserve">в виде устных разъяснений в ходе проведения профилактического визита</w:t>
      </w:r>
      <w:r>
        <w:rPr>
          <w:b w:val="0"/>
          <w:bCs w:val="0"/>
          <w:color w:val="000000" w:themeColor="text1"/>
          <w:sz w:val="28"/>
          <w:szCs w:val="28"/>
        </w:rPr>
        <w:t xml:space="preserve"> )</w:t>
      </w:r>
      <w:r>
        <w:rPr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5. Пров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едение профилактических визитов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892"/>
        <w:jc w:val="left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</w:r>
      <w:r>
        <w:rPr>
          <w:b/>
          <w:bCs/>
          <w:color w:val="ff0000"/>
          <w:sz w:val="28"/>
          <w:szCs w:val="28"/>
        </w:rPr>
      </w:r>
      <w:r>
        <w:rPr>
          <w:b/>
          <w:bCs/>
          <w:color w:val="ff0000"/>
          <w:sz w:val="28"/>
          <w:szCs w:val="28"/>
        </w:rPr>
      </w:r>
    </w:p>
    <w:p>
      <w:pPr>
        <w:pStyle w:val="892"/>
        <w:jc w:val="left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  <w:highlight w:val="none"/>
        </w:rPr>
      </w:r>
      <w:r>
        <w:rPr>
          <w:b/>
          <w:bCs/>
          <w:color w:val="ff0000"/>
          <w:sz w:val="28"/>
          <w:szCs w:val="28"/>
        </w:rPr>
      </w:r>
      <w:r>
        <w:rPr>
          <w:b/>
          <w:bCs/>
          <w:color w:val="ff0000"/>
          <w:sz w:val="28"/>
          <w:szCs w:val="28"/>
        </w:rPr>
      </w:r>
    </w:p>
    <w:p>
      <w:pPr>
        <w:pStyle w:val="892"/>
        <w:jc w:val="center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color w:val="000000" w:themeColor="text1"/>
          <w:sz w:val="28"/>
          <w:szCs w:val="28"/>
        </w:rPr>
        <w:t xml:space="preserve">Система мониторинга и оценки эффективности 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92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и результативности профилактических мероприятий 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892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Мониторинг и оценка эффективности реализации Программы профилактики нарушений проводится путем: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самообследования уровня развития профилактических мероприятий;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оценки достижения показателей эффективности и результативности профилактических мероприятий, предусмотренных на очередной календарный год.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Оценка эффективности и результативности профилактических мероприятий осуществляется департаментом образования посредством проведения социологического исследования представителей подконтрольных субъектов по следующим показателям (п):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 1 – информированность подконт</w:t>
      </w:r>
      <w:r>
        <w:rPr>
          <w:color w:val="000000" w:themeColor="text1"/>
          <w:sz w:val="28"/>
          <w:szCs w:val="28"/>
        </w:rPr>
        <w:t xml:space="preserve">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подконтрольного субъекта при проведении департаментом образования контрольных надзорных мероприятий;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 2 – понятность обязательных требований, обеспечивающая их однозначное толкование всеми участниками контрольной (надзорной) деятельности;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 3 – удовлетворенность доступностью на официальном сайте департамента образования для объектов контроля информации о принятых и готовящихся изменениях обязательных требований законодательства об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образовании;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 4 – вовлечение подконтрольных субъектов в регулярное взаимодействие с департаментом образования;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 5 – повышение уровня доверия подконтрольных субъектов к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департаменту образования.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892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>
        <w:rPr>
          <w:b/>
          <w:bCs/>
          <w:color w:val="ff0000"/>
          <w:sz w:val="28"/>
          <w:szCs w:val="28"/>
        </w:rPr>
      </w:r>
      <w:r>
        <w:rPr>
          <w:b/>
          <w:bCs/>
          <w:color w:val="ff0000"/>
          <w:sz w:val="28"/>
          <w:szCs w:val="28"/>
        </w:rPr>
      </w:r>
    </w:p>
    <w:p>
      <w:pPr>
        <w:pStyle w:val="892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Отчетные показатели 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892"/>
        <w:jc w:val="center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color w:val="000000" w:themeColor="text1"/>
          <w:sz w:val="28"/>
          <w:szCs w:val="28"/>
        </w:rPr>
        <w:t xml:space="preserve">деятельности департамента образования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по достижению показателей эффективностей профилактических мероприятий в 2023 году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9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tbl>
      <w:tblPr>
        <w:tblStyle w:val="894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5556"/>
        <w:gridCol w:w="1842"/>
        <w:gridCol w:w="1276"/>
      </w:tblGrid>
      <w:tr>
        <w:tblPrEx/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№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п/п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Наименование показателя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Установленная величина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Результат опроса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Информированность подко</w:t>
            </w:r>
            <w:r>
              <w:rPr>
                <w:color w:val="000000" w:themeColor="text1"/>
              </w:rPr>
              <w:t xml:space="preserve">нтрольных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подконтрольного субъекта при проведении департаментом образования контрольно-надзорных мероприятий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Понятность обязательных требований, обеспечивающая их однозначное толкование всеми участниками контрольной (надзорной) деятельности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 менее 80%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Удовлетворенность доступностью на официальном сайте  департамента образования для объектов контроля информации о принятых и готовящихся изменениях обязательных требований законодательства об образовании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 менее 80%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Вовлечение подконтрольных субъектов в регулярное взаимодействие с департаментом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 менее 80%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Повышение уровня доверия подконтрольных субъектов к департаменту образования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 менее 80%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gridSpan w:val="2"/>
            <w:tcW w:w="609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Выполнение Плана профилактических мероприятий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100%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Выполнение Программы профилактики считается: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 высокоэффективным, если ЭПП составляет 80 и более процентов;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 среднеэффективным, если ЭПП составляет 51 до 79 и более процентов;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 низкоэффективным, если ЭПП составляет менее 50 процентов.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firstLine="708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Должностные лица, ответственные за реализацию Программы профилактики: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892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начальник отдела контроля и надзора в сфере образования департамента образования Еврейской автономной области;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2"/>
        <w:ind w:left="1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заместитель начальника отдела контроля и надзора в сфере образования департамента образования Еврейской автономной области.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7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профилактики подлежит размещению на официальном сайте департамента образования https://komobr-eao.ru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разделе «Государственный контроль (надзор) в сфере образования/Профилактика нарушений обязательных требований».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484265"/>
      <w:docPartObj>
        <w:docPartGallery w:val="Page Numbers (Bottom of Page)"/>
        <w:docPartUnique w:val="true"/>
      </w:docPartObj>
      <w:rPr/>
    </w:sdtPr>
    <w:sdtContent>
      <w:p>
        <w:pPr>
          <w:pStyle w:val="90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1</w:t>
        </w:r>
        <w:r>
          <w:fldChar w:fldCharType="end"/>
        </w:r>
        <w:r/>
      </w:p>
    </w:sdtContent>
  </w:sdt>
  <w:p>
    <w:pPr>
      <w:pStyle w:val="90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7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2 Char"/>
    <w:basedOn w:val="727"/>
    <w:link w:val="719"/>
    <w:uiPriority w:val="9"/>
    <w:rPr>
      <w:rFonts w:ascii="Arial" w:hAnsi="Arial" w:eastAsia="Arial" w:cs="Arial"/>
      <w:sz w:val="34"/>
    </w:rPr>
  </w:style>
  <w:style w:type="character" w:styleId="705">
    <w:name w:val="Heading 3 Char"/>
    <w:basedOn w:val="727"/>
    <w:link w:val="720"/>
    <w:uiPriority w:val="9"/>
    <w:rPr>
      <w:rFonts w:ascii="Arial" w:hAnsi="Arial" w:eastAsia="Arial" w:cs="Arial"/>
      <w:sz w:val="30"/>
      <w:szCs w:val="30"/>
    </w:rPr>
  </w:style>
  <w:style w:type="character" w:styleId="706">
    <w:name w:val="Heading 4 Char"/>
    <w:basedOn w:val="727"/>
    <w:link w:val="721"/>
    <w:uiPriority w:val="9"/>
    <w:rPr>
      <w:rFonts w:ascii="Arial" w:hAnsi="Arial" w:eastAsia="Arial" w:cs="Arial"/>
      <w:b/>
      <w:bCs/>
      <w:sz w:val="26"/>
      <w:szCs w:val="26"/>
    </w:rPr>
  </w:style>
  <w:style w:type="character" w:styleId="707">
    <w:name w:val="Heading 5 Char"/>
    <w:basedOn w:val="727"/>
    <w:link w:val="722"/>
    <w:uiPriority w:val="9"/>
    <w:rPr>
      <w:rFonts w:ascii="Arial" w:hAnsi="Arial" w:eastAsia="Arial" w:cs="Arial"/>
      <w:b/>
      <w:bCs/>
      <w:sz w:val="24"/>
      <w:szCs w:val="24"/>
    </w:rPr>
  </w:style>
  <w:style w:type="character" w:styleId="708">
    <w:name w:val="Heading 6 Char"/>
    <w:basedOn w:val="727"/>
    <w:link w:val="723"/>
    <w:uiPriority w:val="9"/>
    <w:rPr>
      <w:rFonts w:ascii="Arial" w:hAnsi="Arial" w:eastAsia="Arial" w:cs="Arial"/>
      <w:b/>
      <w:bCs/>
      <w:sz w:val="22"/>
      <w:szCs w:val="22"/>
    </w:rPr>
  </w:style>
  <w:style w:type="character" w:styleId="709">
    <w:name w:val="Heading 7 Char"/>
    <w:basedOn w:val="727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8 Char"/>
    <w:basedOn w:val="727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11">
    <w:name w:val="Heading 9 Char"/>
    <w:basedOn w:val="727"/>
    <w:link w:val="726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Subtitle Char"/>
    <w:basedOn w:val="727"/>
    <w:link w:val="740"/>
    <w:uiPriority w:val="11"/>
    <w:rPr>
      <w:sz w:val="24"/>
      <w:szCs w:val="24"/>
    </w:rPr>
  </w:style>
  <w:style w:type="character" w:styleId="713">
    <w:name w:val="Quote Char"/>
    <w:link w:val="742"/>
    <w:uiPriority w:val="29"/>
    <w:rPr>
      <w:i/>
    </w:rPr>
  </w:style>
  <w:style w:type="character" w:styleId="714">
    <w:name w:val="Intense Quote Char"/>
    <w:link w:val="744"/>
    <w:uiPriority w:val="30"/>
    <w:rPr>
      <w:i/>
    </w:rPr>
  </w:style>
  <w:style w:type="character" w:styleId="715">
    <w:name w:val="Footnote Text Char"/>
    <w:link w:val="875"/>
    <w:uiPriority w:val="99"/>
    <w:rPr>
      <w:sz w:val="18"/>
    </w:rPr>
  </w:style>
  <w:style w:type="character" w:styleId="716">
    <w:name w:val="Endnote Text Char"/>
    <w:link w:val="878"/>
    <w:uiPriority w:val="99"/>
    <w:rPr>
      <w:sz w:val="20"/>
    </w:rPr>
  </w:style>
  <w:style w:type="paragraph" w:styleId="717" w:default="1">
    <w:name w:val="Normal"/>
    <w:qFormat/>
  </w:style>
  <w:style w:type="paragraph" w:styleId="718">
    <w:name w:val="Heading 1"/>
    <w:basedOn w:val="717"/>
    <w:next w:val="717"/>
    <w:link w:val="898"/>
    <w:qFormat/>
    <w:pPr>
      <w:ind w:left="216" w:hanging="216"/>
      <w:keepNext/>
      <w:spacing w:after="0" w:line="240" w:lineRule="exact"/>
      <w:framePr w:w="3962" w:h="1085" w:wrap="auto" w:vAnchor="page" w:hAnchor="page" w:x="6982" w:y="1265"/>
      <w:outlineLvl w:val="0"/>
    </w:pPr>
    <w:rPr>
      <w:rFonts w:ascii="Times New Roman" w:hAnsi="Times New Roman" w:eastAsia="Times New Roman" w:cs="Times New Roman"/>
      <w:sz w:val="28"/>
      <w:szCs w:val="28"/>
    </w:rPr>
  </w:style>
  <w:style w:type="paragraph" w:styleId="719">
    <w:name w:val="Heading 2"/>
    <w:basedOn w:val="717"/>
    <w:next w:val="717"/>
    <w:link w:val="73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20">
    <w:name w:val="Heading 3"/>
    <w:basedOn w:val="717"/>
    <w:next w:val="717"/>
    <w:link w:val="73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1">
    <w:name w:val="Heading 4"/>
    <w:basedOn w:val="717"/>
    <w:next w:val="717"/>
    <w:link w:val="73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2">
    <w:name w:val="Heading 5"/>
    <w:basedOn w:val="717"/>
    <w:next w:val="717"/>
    <w:link w:val="73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3">
    <w:name w:val="Heading 6"/>
    <w:basedOn w:val="717"/>
    <w:next w:val="717"/>
    <w:link w:val="73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24">
    <w:name w:val="Heading 7"/>
    <w:basedOn w:val="717"/>
    <w:next w:val="717"/>
    <w:link w:val="73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25">
    <w:name w:val="Heading 8"/>
    <w:basedOn w:val="717"/>
    <w:next w:val="717"/>
    <w:link w:val="73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26">
    <w:name w:val="Heading 9"/>
    <w:basedOn w:val="717"/>
    <w:next w:val="717"/>
    <w:link w:val="73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 w:default="1">
    <w:name w:val="Default Paragraph Font"/>
    <w:uiPriority w:val="1"/>
    <w:semiHidden/>
    <w:unhideWhenUsed/>
  </w:style>
  <w:style w:type="table" w:styleId="7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9" w:default="1">
    <w:name w:val="No List"/>
    <w:uiPriority w:val="99"/>
    <w:semiHidden/>
    <w:unhideWhenUsed/>
  </w:style>
  <w:style w:type="character" w:styleId="730" w:customStyle="1">
    <w:name w:val="Heading 1 Char"/>
    <w:basedOn w:val="727"/>
    <w:uiPriority w:val="9"/>
    <w:rPr>
      <w:rFonts w:ascii="Arial" w:hAnsi="Arial" w:eastAsia="Arial" w:cs="Arial"/>
      <w:sz w:val="40"/>
      <w:szCs w:val="40"/>
    </w:rPr>
  </w:style>
  <w:style w:type="character" w:styleId="731" w:customStyle="1">
    <w:name w:val="Заголовок 2 Знак"/>
    <w:basedOn w:val="727"/>
    <w:link w:val="719"/>
    <w:uiPriority w:val="9"/>
    <w:rPr>
      <w:rFonts w:ascii="Arial" w:hAnsi="Arial" w:eastAsia="Arial" w:cs="Arial"/>
      <w:sz w:val="34"/>
    </w:rPr>
  </w:style>
  <w:style w:type="character" w:styleId="732" w:customStyle="1">
    <w:name w:val="Заголовок 3 Знак"/>
    <w:basedOn w:val="727"/>
    <w:link w:val="720"/>
    <w:uiPriority w:val="9"/>
    <w:rPr>
      <w:rFonts w:ascii="Arial" w:hAnsi="Arial" w:eastAsia="Arial" w:cs="Arial"/>
      <w:sz w:val="30"/>
      <w:szCs w:val="30"/>
    </w:rPr>
  </w:style>
  <w:style w:type="character" w:styleId="733" w:customStyle="1">
    <w:name w:val="Заголовок 4 Знак"/>
    <w:basedOn w:val="727"/>
    <w:link w:val="721"/>
    <w:uiPriority w:val="9"/>
    <w:rPr>
      <w:rFonts w:ascii="Arial" w:hAnsi="Arial" w:eastAsia="Arial" w:cs="Arial"/>
      <w:b/>
      <w:bCs/>
      <w:sz w:val="26"/>
      <w:szCs w:val="26"/>
    </w:rPr>
  </w:style>
  <w:style w:type="character" w:styleId="734" w:customStyle="1">
    <w:name w:val="Заголовок 5 Знак"/>
    <w:basedOn w:val="727"/>
    <w:link w:val="722"/>
    <w:uiPriority w:val="9"/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Заголовок 6 Знак"/>
    <w:basedOn w:val="727"/>
    <w:link w:val="723"/>
    <w:uiPriority w:val="9"/>
    <w:rPr>
      <w:rFonts w:ascii="Arial" w:hAnsi="Arial" w:eastAsia="Arial" w:cs="Arial"/>
      <w:b/>
      <w:bCs/>
      <w:sz w:val="22"/>
      <w:szCs w:val="22"/>
    </w:rPr>
  </w:style>
  <w:style w:type="character" w:styleId="736" w:customStyle="1">
    <w:name w:val="Заголовок 7 Знак"/>
    <w:basedOn w:val="727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7" w:customStyle="1">
    <w:name w:val="Заголовок 8 Знак"/>
    <w:basedOn w:val="727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38" w:customStyle="1">
    <w:name w:val="Заголовок 9 Знак"/>
    <w:basedOn w:val="727"/>
    <w:link w:val="726"/>
    <w:uiPriority w:val="9"/>
    <w:rPr>
      <w:rFonts w:ascii="Arial" w:hAnsi="Arial" w:eastAsia="Arial" w:cs="Arial"/>
      <w:i/>
      <w:iCs/>
      <w:sz w:val="21"/>
      <w:szCs w:val="21"/>
    </w:rPr>
  </w:style>
  <w:style w:type="character" w:styleId="739" w:customStyle="1">
    <w:name w:val="Title Char"/>
    <w:basedOn w:val="727"/>
    <w:uiPriority w:val="10"/>
    <w:rPr>
      <w:sz w:val="48"/>
      <w:szCs w:val="48"/>
    </w:rPr>
  </w:style>
  <w:style w:type="paragraph" w:styleId="740">
    <w:name w:val="Subtitle"/>
    <w:basedOn w:val="717"/>
    <w:next w:val="717"/>
    <w:link w:val="741"/>
    <w:uiPriority w:val="11"/>
    <w:qFormat/>
    <w:pPr>
      <w:spacing w:before="200"/>
    </w:pPr>
    <w:rPr>
      <w:sz w:val="24"/>
      <w:szCs w:val="24"/>
    </w:rPr>
  </w:style>
  <w:style w:type="character" w:styleId="741" w:customStyle="1">
    <w:name w:val="Подзаголовок Знак"/>
    <w:basedOn w:val="727"/>
    <w:link w:val="740"/>
    <w:uiPriority w:val="11"/>
    <w:rPr>
      <w:sz w:val="24"/>
      <w:szCs w:val="24"/>
    </w:rPr>
  </w:style>
  <w:style w:type="paragraph" w:styleId="742">
    <w:name w:val="Quote"/>
    <w:basedOn w:val="717"/>
    <w:next w:val="717"/>
    <w:link w:val="743"/>
    <w:uiPriority w:val="29"/>
    <w:qFormat/>
    <w:pPr>
      <w:ind w:left="720" w:right="720"/>
    </w:pPr>
    <w:rPr>
      <w:i/>
    </w:rPr>
  </w:style>
  <w:style w:type="character" w:styleId="743" w:customStyle="1">
    <w:name w:val="Цитата 2 Знак"/>
    <w:link w:val="742"/>
    <w:uiPriority w:val="29"/>
    <w:rPr>
      <w:i/>
    </w:rPr>
  </w:style>
  <w:style w:type="paragraph" w:styleId="744">
    <w:name w:val="Intense Quote"/>
    <w:basedOn w:val="717"/>
    <w:next w:val="717"/>
    <w:link w:val="74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 w:customStyle="1">
    <w:name w:val="Выделенная цитата Знак"/>
    <w:link w:val="744"/>
    <w:uiPriority w:val="30"/>
    <w:rPr>
      <w:i/>
    </w:rPr>
  </w:style>
  <w:style w:type="character" w:styleId="746" w:customStyle="1">
    <w:name w:val="Header Char"/>
    <w:basedOn w:val="727"/>
    <w:uiPriority w:val="99"/>
  </w:style>
  <w:style w:type="character" w:styleId="747" w:customStyle="1">
    <w:name w:val="Footer Char"/>
    <w:basedOn w:val="727"/>
    <w:uiPriority w:val="99"/>
  </w:style>
  <w:style w:type="paragraph" w:styleId="748">
    <w:name w:val="Caption"/>
    <w:basedOn w:val="717"/>
    <w:next w:val="717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9" w:customStyle="1">
    <w:name w:val="Caption Char"/>
    <w:uiPriority w:val="99"/>
  </w:style>
  <w:style w:type="table" w:styleId="750" w:customStyle="1">
    <w:name w:val="Table Grid Light"/>
    <w:basedOn w:val="72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1">
    <w:name w:val="Plain Table 1"/>
    <w:basedOn w:val="72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2"/>
    <w:basedOn w:val="7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3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 w:customStyle="1">
    <w:name w:val="Grid Table 4 - Accent 1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9" w:customStyle="1">
    <w:name w:val="Grid Table 4 - Accent 2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0" w:customStyle="1">
    <w:name w:val="Grid Table 4 - Accent 3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1" w:customStyle="1">
    <w:name w:val="Grid Table 4 - Accent 4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2" w:customStyle="1">
    <w:name w:val="Grid Table 4 - Accent 5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3" w:customStyle="1">
    <w:name w:val="Grid Table 4 - Accent 6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4">
    <w:name w:val="Grid Table 5 Dark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1">
    <w:name w:val="Grid Table 6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2" w:customStyle="1">
    <w:name w:val="Grid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3" w:customStyle="1">
    <w:name w:val="Grid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4" w:customStyle="1">
    <w:name w:val="Grid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5" w:customStyle="1">
    <w:name w:val="Grid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6" w:customStyle="1">
    <w:name w:val="Grid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7" w:customStyle="1">
    <w:name w:val="Grid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8">
    <w:name w:val="Grid Table 7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1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2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3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4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5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6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>
    <w:name w:val="List Table 6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1" w:customStyle="1">
    <w:name w:val="List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2" w:customStyle="1">
    <w:name w:val="List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3" w:customStyle="1">
    <w:name w:val="List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4" w:customStyle="1">
    <w:name w:val="List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5" w:customStyle="1">
    <w:name w:val="List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6" w:customStyle="1">
    <w:name w:val="List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7">
    <w:name w:val="List Table 7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ned - Accent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Lined - Accent 1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6" w:customStyle="1">
    <w:name w:val="Lined - Accent 2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7" w:customStyle="1">
    <w:name w:val="Lined - Accent 3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8" w:customStyle="1">
    <w:name w:val="Lined - Accent 4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9" w:customStyle="1">
    <w:name w:val="Lined - Accent 5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0" w:customStyle="1">
    <w:name w:val="Lined - Accent 6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1" w:customStyle="1">
    <w:name w:val="Bordered &amp; Lined - Accent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2" w:customStyle="1">
    <w:name w:val="Bordered &amp; Lined - Accent 1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3" w:customStyle="1">
    <w:name w:val="Bordered &amp; Lined - Accent 2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4" w:customStyle="1">
    <w:name w:val="Bordered &amp; Lined - Accent 3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5" w:customStyle="1">
    <w:name w:val="Bordered &amp; Lined - Accent 4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6" w:customStyle="1">
    <w:name w:val="Bordered &amp; Lined - Accent 5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7" w:customStyle="1">
    <w:name w:val="Bordered &amp; Lined - Accent 6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8" w:customStyle="1">
    <w:name w:val="Bordered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9" w:customStyle="1">
    <w:name w:val="Bordered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0" w:customStyle="1">
    <w:name w:val="Bordered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1" w:customStyle="1">
    <w:name w:val="Bordered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2" w:customStyle="1">
    <w:name w:val="Bordered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3" w:customStyle="1">
    <w:name w:val="Bordered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4" w:customStyle="1">
    <w:name w:val="Bordered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5">
    <w:name w:val="footnote text"/>
    <w:basedOn w:val="717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 w:customStyle="1">
    <w:name w:val="Текст сноски Знак"/>
    <w:link w:val="875"/>
    <w:uiPriority w:val="99"/>
    <w:rPr>
      <w:sz w:val="18"/>
    </w:rPr>
  </w:style>
  <w:style w:type="character" w:styleId="877">
    <w:name w:val="footnote reference"/>
    <w:basedOn w:val="727"/>
    <w:uiPriority w:val="99"/>
    <w:unhideWhenUsed/>
    <w:rPr>
      <w:vertAlign w:val="superscript"/>
    </w:rPr>
  </w:style>
  <w:style w:type="paragraph" w:styleId="878">
    <w:name w:val="endnote text"/>
    <w:basedOn w:val="717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 w:customStyle="1">
    <w:name w:val="Текст концевой сноски Знак"/>
    <w:link w:val="878"/>
    <w:uiPriority w:val="99"/>
    <w:rPr>
      <w:sz w:val="20"/>
    </w:rPr>
  </w:style>
  <w:style w:type="character" w:styleId="880">
    <w:name w:val="endnote reference"/>
    <w:basedOn w:val="727"/>
    <w:uiPriority w:val="99"/>
    <w:semiHidden/>
    <w:unhideWhenUsed/>
    <w:rPr>
      <w:vertAlign w:val="superscript"/>
    </w:rPr>
  </w:style>
  <w:style w:type="paragraph" w:styleId="881">
    <w:name w:val="toc 1"/>
    <w:basedOn w:val="717"/>
    <w:next w:val="717"/>
    <w:uiPriority w:val="39"/>
    <w:unhideWhenUsed/>
    <w:pPr>
      <w:spacing w:after="57"/>
    </w:pPr>
  </w:style>
  <w:style w:type="paragraph" w:styleId="882">
    <w:name w:val="toc 2"/>
    <w:basedOn w:val="717"/>
    <w:next w:val="717"/>
    <w:uiPriority w:val="39"/>
    <w:unhideWhenUsed/>
    <w:pPr>
      <w:ind w:left="283"/>
      <w:spacing w:after="57"/>
    </w:pPr>
  </w:style>
  <w:style w:type="paragraph" w:styleId="883">
    <w:name w:val="toc 3"/>
    <w:basedOn w:val="717"/>
    <w:next w:val="717"/>
    <w:uiPriority w:val="39"/>
    <w:unhideWhenUsed/>
    <w:pPr>
      <w:ind w:left="567"/>
      <w:spacing w:after="57"/>
    </w:pPr>
  </w:style>
  <w:style w:type="paragraph" w:styleId="884">
    <w:name w:val="toc 4"/>
    <w:basedOn w:val="717"/>
    <w:next w:val="717"/>
    <w:uiPriority w:val="39"/>
    <w:unhideWhenUsed/>
    <w:pPr>
      <w:ind w:left="850"/>
      <w:spacing w:after="57"/>
    </w:pPr>
  </w:style>
  <w:style w:type="paragraph" w:styleId="885">
    <w:name w:val="toc 5"/>
    <w:basedOn w:val="717"/>
    <w:next w:val="717"/>
    <w:uiPriority w:val="39"/>
    <w:unhideWhenUsed/>
    <w:pPr>
      <w:ind w:left="1134"/>
      <w:spacing w:after="57"/>
    </w:pPr>
  </w:style>
  <w:style w:type="paragraph" w:styleId="886">
    <w:name w:val="toc 6"/>
    <w:basedOn w:val="717"/>
    <w:next w:val="717"/>
    <w:uiPriority w:val="39"/>
    <w:unhideWhenUsed/>
    <w:pPr>
      <w:ind w:left="1417"/>
      <w:spacing w:after="57"/>
    </w:pPr>
  </w:style>
  <w:style w:type="paragraph" w:styleId="887">
    <w:name w:val="toc 7"/>
    <w:basedOn w:val="717"/>
    <w:next w:val="717"/>
    <w:uiPriority w:val="39"/>
    <w:unhideWhenUsed/>
    <w:pPr>
      <w:ind w:left="1701"/>
      <w:spacing w:after="57"/>
    </w:pPr>
  </w:style>
  <w:style w:type="paragraph" w:styleId="888">
    <w:name w:val="toc 8"/>
    <w:basedOn w:val="717"/>
    <w:next w:val="717"/>
    <w:uiPriority w:val="39"/>
    <w:unhideWhenUsed/>
    <w:pPr>
      <w:ind w:left="1984"/>
      <w:spacing w:after="57"/>
    </w:pPr>
  </w:style>
  <w:style w:type="paragraph" w:styleId="889">
    <w:name w:val="toc 9"/>
    <w:basedOn w:val="717"/>
    <w:next w:val="717"/>
    <w:uiPriority w:val="39"/>
    <w:unhideWhenUsed/>
    <w:pPr>
      <w:ind w:left="2268"/>
      <w:spacing w:after="57"/>
    </w:pPr>
  </w:style>
  <w:style w:type="paragraph" w:styleId="890">
    <w:name w:val="TOC Heading"/>
    <w:uiPriority w:val="39"/>
    <w:unhideWhenUsed/>
  </w:style>
  <w:style w:type="paragraph" w:styleId="891">
    <w:name w:val="table of figures"/>
    <w:basedOn w:val="717"/>
    <w:next w:val="717"/>
    <w:uiPriority w:val="99"/>
    <w:unhideWhenUsed/>
    <w:pPr>
      <w:spacing w:after="0"/>
    </w:pPr>
  </w:style>
  <w:style w:type="paragraph" w:styleId="892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893">
    <w:name w:val="Hyperlink"/>
    <w:basedOn w:val="727"/>
    <w:uiPriority w:val="99"/>
    <w:unhideWhenUsed/>
    <w:rPr>
      <w:color w:val="0000ff"/>
      <w:u w:val="single"/>
    </w:rPr>
  </w:style>
  <w:style w:type="table" w:styleId="894">
    <w:name w:val="Table Grid"/>
    <w:basedOn w:val="728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5">
    <w:name w:val="Normal (Web)"/>
    <w:basedOn w:val="717"/>
    <w:link w:val="896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96" w:customStyle="1">
    <w:name w:val="Обычный (веб) Знак"/>
    <w:link w:val="895"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897">
    <w:name w:val="List Paragraph"/>
    <w:basedOn w:val="717"/>
    <w:uiPriority w:val="34"/>
    <w:qFormat/>
    <w:pPr>
      <w:contextualSpacing/>
      <w:ind w:left="720"/>
    </w:pPr>
  </w:style>
  <w:style w:type="character" w:styleId="898" w:customStyle="1">
    <w:name w:val="Заголовок 1 Знак"/>
    <w:basedOn w:val="727"/>
    <w:link w:val="718"/>
    <w:rPr>
      <w:rFonts w:ascii="Times New Roman" w:hAnsi="Times New Roman" w:eastAsia="Times New Roman" w:cs="Times New Roman"/>
      <w:sz w:val="28"/>
      <w:szCs w:val="28"/>
    </w:rPr>
  </w:style>
  <w:style w:type="paragraph" w:styleId="899">
    <w:name w:val="Title"/>
    <w:basedOn w:val="717"/>
    <w:link w:val="900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900" w:customStyle="1">
    <w:name w:val="Заголовок Знак"/>
    <w:basedOn w:val="727"/>
    <w:link w:val="899"/>
    <w:rPr>
      <w:rFonts w:ascii="Times New Roman" w:hAnsi="Times New Roman" w:eastAsia="Times New Roman" w:cs="Times New Roman"/>
      <w:sz w:val="28"/>
      <w:szCs w:val="20"/>
    </w:rPr>
  </w:style>
  <w:style w:type="paragraph" w:styleId="901">
    <w:name w:val="No Spacing"/>
    <w:link w:val="902"/>
    <w:uiPriority w:val="1"/>
    <w:qFormat/>
    <w:pPr>
      <w:spacing w:after="0" w:line="240" w:lineRule="auto"/>
    </w:pPr>
  </w:style>
  <w:style w:type="character" w:styleId="902" w:customStyle="1">
    <w:name w:val="Без интервала Знак"/>
    <w:basedOn w:val="727"/>
    <w:link w:val="901"/>
    <w:uiPriority w:val="1"/>
  </w:style>
  <w:style w:type="paragraph" w:styleId="903">
    <w:name w:val="Header"/>
    <w:basedOn w:val="717"/>
    <w:link w:val="904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4" w:customStyle="1">
    <w:name w:val="Верхний колонтитул Знак"/>
    <w:basedOn w:val="727"/>
    <w:link w:val="903"/>
    <w:uiPriority w:val="99"/>
    <w:semiHidden/>
  </w:style>
  <w:style w:type="paragraph" w:styleId="905">
    <w:name w:val="Footer"/>
    <w:basedOn w:val="717"/>
    <w:link w:val="90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6" w:customStyle="1">
    <w:name w:val="Нижний колонтитул Знак"/>
    <w:basedOn w:val="727"/>
    <w:link w:val="905"/>
    <w:uiPriority w:val="99"/>
  </w:style>
  <w:style w:type="paragraph" w:styleId="907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</w:rPr>
  </w:style>
  <w:style w:type="paragraph" w:styleId="908" w:customStyle="1">
    <w:name w:val="ConsPlu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</w:rPr>
  </w:style>
  <w:style w:type="paragraph" w:styleId="909" w:customStyle="1">
    <w:name w:val="Обычный (веб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lang w:val="ru-RU" w:eastAsia="ru-RU" w:bidi="ar-SA"/>
      <w14:ligatures w14:val="none"/>
    </w:rPr>
  </w:style>
  <w:style w:type="paragraph" w:styleId="910" w:customStyle="1">
    <w:name w:val="Style20"/>
    <w:uiPriority w:val="99"/>
    <w:pPr>
      <w:contextualSpacing w:val="0"/>
      <w:ind w:left="0" w:right="0" w:firstLine="509"/>
      <w:jc w:val="left"/>
      <w:keepLines w:val="0"/>
      <w:keepNext w:val="0"/>
      <w:pageBreakBefore w:val="0"/>
      <w:spacing w:before="0" w:beforeAutospacing="0" w:after="0" w:afterAutospacing="0" w:line="274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11" w:customStyle="1">
    <w:name w:val="Strong"/>
    <w:uiPriority w:val="22"/>
    <w:qFormat/>
    <w:rPr>
      <w:rFonts w:ascii="Times New Roman" w:hAnsi="Times New Roman" w:cs="Times New Roman"/>
      <w:b/>
      <w:bCs w:val="0"/>
    </w:rPr>
  </w:style>
  <w:style w:type="character" w:styleId="912" w:customStyle="1">
    <w:name w:val="Font Style37"/>
    <w:uiPriority w:val="99"/>
    <w:rPr>
      <w:rFonts w:ascii="Times New Roman" w:hAnsi="Times New Roman" w:cs="Times New Roman"/>
      <w:sz w:val="22"/>
      <w:szCs w:val="22"/>
    </w:rPr>
  </w:style>
  <w:style w:type="character" w:styleId="913" w:customStyle="1">
    <w:name w:val="Гиперссылка"/>
    <w:uiPriority w:val="99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1BF736F16E291BFE2510CC979945D02A4D097ACC9C96023367BDBEA494903B41C2D3C062A77F1146AE7F85BF93gEtDC" TargetMode="External"/><Relationship Id="rId12" Type="http://schemas.openxmlformats.org/officeDocument/2006/relationships/hyperlink" Target="https://komobr-eao.ru/" TargetMode="External"/><Relationship Id="rId13" Type="http://schemas.openxmlformats.org/officeDocument/2006/relationships/hyperlink" Target="https://komobr-eao.ru/" TargetMode="External"/><Relationship Id="rId14" Type="http://schemas.openxmlformats.org/officeDocument/2006/relationships/hyperlink" Target="consultantplus://offline/ref=FCCF22C2CC153EBF82085F1C10AA7DCF39AB9DB798ADC43A82AA25BFADCEBB2ECF5DF54BE26B7B03DE43138104u7d0I" TargetMode="External"/><Relationship Id="rId15" Type="http://schemas.openxmlformats.org/officeDocument/2006/relationships/hyperlink" Target="https://komobr-eao.ru/" TargetMode="External"/><Relationship Id="rId16" Type="http://schemas.openxmlformats.org/officeDocument/2006/relationships/hyperlink" Target="https://komobr-eao.ru/" TargetMode="External"/><Relationship Id="rId17" Type="http://schemas.openxmlformats.org/officeDocument/2006/relationships/hyperlink" Target="https://komobr-eao.ru" TargetMode="External"/><Relationship Id="rId18" Type="http://schemas.openxmlformats.org/officeDocument/2006/relationships/hyperlink" Target="https://komobr-eao.ru/" TargetMode="External"/><Relationship Id="rId19" Type="http://schemas.openxmlformats.org/officeDocument/2006/relationships/hyperlink" Target="consultantplus://offline/ref=2B42DE38A5FAE4D37C6C4DE391FAC41EAE3979A2A04B0D31CECDE24B5E0215EA45C016692D416092AC66DB3B91F5E4F32C014697D4335B99LCD1F" TargetMode="External"/><Relationship Id="rId20" Type="http://schemas.openxmlformats.org/officeDocument/2006/relationships/hyperlink" Target="https://komobr-e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0ABA8-72EC-4769-937D-8C0E225F7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obr_206-2</dc:creator>
  <cp:keywords/>
  <dc:description/>
  <cp:revision>140</cp:revision>
  <dcterms:created xsi:type="dcterms:W3CDTF">2019-12-16T02:09:00Z</dcterms:created>
  <dcterms:modified xsi:type="dcterms:W3CDTF">2024-09-30T05:24:51Z</dcterms:modified>
</cp:coreProperties>
</file>