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tabs>
          <w:tab w:val="left" w:pos="2790" w:leader="none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i/>
          <w:sz w:val="28"/>
          <w:szCs w:val="28"/>
        </w:rPr>
      </w:r>
    </w:p>
    <w:p>
      <w:pPr>
        <w:jc w:val="center"/>
        <w:spacing w:after="0" w:line="240" w:lineRule="auto"/>
        <w:tabs>
          <w:tab w:val="left" w:pos="2790" w:leader="none"/>
        </w:tabs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eastAsia="Times New Roman" w:cs="Times New Roman"/>
          <w:color w:val="7030a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1500" cy="6477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715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.00pt;height:51.0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7030a0"/>
          <w:sz w:val="28"/>
          <w:szCs w:val="28"/>
        </w:rPr>
      </w:r>
    </w:p>
    <w:p>
      <w:pPr>
        <w:ind w:right="-6"/>
        <w:jc w:val="center"/>
        <w:spacing w:after="0" w:line="240" w:lineRule="auto"/>
        <w:tabs>
          <w:tab w:val="left" w:pos="9354" w:leader="none"/>
        </w:tabs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eastAsia="Times New Roman" w:cs="Times New Roman"/>
          <w:color w:val="7030a0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7030a0"/>
          <w:sz w:val="28"/>
          <w:szCs w:val="28"/>
        </w:rPr>
      </w:r>
    </w:p>
    <w:p>
      <w:pPr>
        <w:ind w:right="-6"/>
        <w:jc w:val="center"/>
        <w:spacing w:after="0" w:line="240" w:lineRule="auto"/>
        <w:tabs>
          <w:tab w:val="left" w:pos="9354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ДЕПАРТАМЕНТ ОБРАЗОВАНИЯ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right="-6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right="-6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6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ab/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 xml:space="preserve">      </w:t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right="-6"/>
        <w:jc w:val="center"/>
        <w:spacing w:after="0" w:line="240" w:lineRule="auto"/>
        <w:tabs>
          <w:tab w:val="left" w:pos="935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6"/>
        <w:jc w:val="center"/>
        <w:spacing w:after="0" w:line="240" w:lineRule="auto"/>
        <w:tabs>
          <w:tab w:val="left" w:pos="935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6"/>
        <w:jc w:val="center"/>
        <w:spacing w:after="0" w:line="240" w:lineRule="auto"/>
        <w:tabs>
          <w:tab w:val="left" w:pos="935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г. Биробиджан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3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22"/>
      </w:tblGrid>
      <w:tr>
        <w:trPr>
          <w:trHeight w:val="444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802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802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shd w:val="clear" w:color="auto" w:fill="ffffff"/>
        <w:widowControl w:val="off"/>
        <w:tabs>
          <w:tab w:val="left" w:pos="80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 утверждении Программы профила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ктики рисков причинения вреда (ущерба) охраняемым законом ценностям по региональному государственному контролю (надзору) за достоверностью, актуальностью и полнотой сведений об организациях отдыха детей и их оздоровления, содержащихся в реестре организаций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отдыха детей и их оздоровления</w:t>
      </w:r>
      <w:bookmarkStart w:id="0" w:name="_GoBack"/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  2024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76" w:lineRule="auto"/>
        <w:shd w:val="clear" w:color="auto" w:fill="ffffff"/>
        <w:widowControl w:val="off"/>
        <w:tabs>
          <w:tab w:val="left" w:pos="80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</w:t>
      </w:r>
      <w:r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статьи 44 Федерального закона от 31.07.2020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№ 248-ФЗ «О государственном контроле (надзоре) и муниципальном контроле в Росс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ийской Федерации»; постановления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; постановления правительства Еврейской автономной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 15.10.2021 № 392-пп «О региональном государственном контроле (надзоре) за достоверностью, актуальностью и полнотой сведений об организациях отдыха детей и их оздоровления, содержащихся в реестре организаций отдыха детей и их оздоровления Еврейской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автономной области»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Утвердить прилагаемую Программу профилактики 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сков причинения вреда (ущерба) охраняемым законом ценностям по региональному государственному контролю (надзору) за достоверностью, актуальностью и полнотой сведений об организациях отдыха детей и их оздоровле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ния, содержащихся в реестре организаций отдыха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детей и их оздоровления, на 202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/>
        </w:rPr>
        <w:t xml:space="preserve">4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год (далее – Программа профилактики).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2. Отделу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общего образования и воспитания департамента образования Еврейской автономной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обеспечить реализацию профилактических мероприятий в соответствии с Программой профилактики.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Разместить утвержденную настоящим приказом Программу профилактики на 2024 год на официальном сайте департамента образования Еврейской автономной области в информационно-телекоммуникационной сети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«Интернет» не позднее 5 дней со дня его утверждения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 Контроль за исполнением настоящего приказа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оставляю за собой.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1354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Настоящий приказ вступает в силу со дня его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официального опубликования, но не ранее 1 января 2024 года.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253"/>
      </w:tblGrid>
      <w:tr>
        <w:trPr/>
        <w:tc>
          <w:tcPr>
            <w:tcW w:w="5173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Начальник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департамента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253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                      Н.Н. Соловченкова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both"/>
        <w:spacing w:before="480"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245" w:right="-28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245" w:right="-28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245" w:right="-28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риказом департамента образования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245" w:right="-28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245" w:right="-28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__________________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245" w:right="-28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245" w:right="-28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aps/>
          <w:sz w:val="28"/>
          <w:szCs w:val="28"/>
          <w:lang w:eastAsia="ru-RU"/>
        </w:rPr>
        <w:t xml:space="preserve">программа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Cs/>
          <w:cap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Start w:id="1" w:name="ТекстовоеПоле2"/>
      <w:r>
        <w:rPr>
          <w:rFonts w:ascii="Times New Roman" w:hAnsi="Times New Roman" w:cs="Times New Roman"/>
          <w:sz w:val="28"/>
          <w:szCs w:val="28"/>
        </w:rPr>
      </w:r>
      <w:bookmarkEnd w:id="1"/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профилактики ри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сков причинения вреда (ущерба) охраняемым законом ценностям по региональному государственному контролю (надзору) за достоверностью, актуальностью и полнотой сведений об организациях отдыха детей и их оздоровления, содержащихся в реестре организаций отдыха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детей и их оздоровления, на 2024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right="1701"/>
        <w:spacing w:after="120" w:line="240" w:lineRule="auto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aps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Cs/>
          <w:caps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Региональный государственный контроль (надзор)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на территории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Еврейской автономной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области осуществляет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департамент образования Еврейской автономной области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(далее –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Департамент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региональный государственный контроль (надзор)) на основании Федерального закона от 24.07.1998 № 124-ФЗ «Об основных гарантиях прав ребенка в Российской Федерации» и в соответствии с постановлением Правительства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Еврейской автономной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области от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15.10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.2021 №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392-пп «О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региональном государственном контроле (надзоре) за достоверностью, актуальностью и полнотой сведений об организациях отдыха детей и их оздоровления, содержащихся в реестре организаций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отдыха детей и их оздоровления Еврейской автономной области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(далее – Положение о региональном государственном контроле (надзоре)).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Настоящая про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грамма профилактики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 990 «Об утверждении Правил разработки и утверждения контрольными (надзор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ными) органами программы профилактики рисков причинения вреда (ущерба) охраняемым законом ценностям», Положением о региональном государственном контроле (надзоре) и предусматривает комплекс мероприятий, направленных на профилактику рисков причинения вреда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(ущерба) охраняемым законом ценностям в сфере организации отдыха и оздоровления детей.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Предметом регионального государств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енного контроля (надзора) является соблюдение организациями отдыха детей и их оздоровления требований к достоверности, актуальности и полноте сведений о них, представляемых для включения в реестр организаций отдыха детей и их оздоровления (далее – Реестр).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Контролируемыми лицами регионального государственного контроля (надзора) являются юридические лица и индивидуальные предприниматели, включенные в Реестр (далее – контролируемые лица).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Объектами государственного контроля (надзора) являются деятельность,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действия (бездействие) организаций, оказывающих услуги в сфере организации отдыха и оздоровления детей, внесенных в Реестр, в рамках которых должны соблюдаться обязательные требования, в том числе предъявляемые к организациям, осуществляющим деятельность,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действия (бездействие) (далее –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объекты государственного контроля (надзора)).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реестр организаций отдыха детей и их оздоровления Еврейской автономной области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2023 году включено 70 образовательные организации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организации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дополнительного образования, культуры, спорта, центров социального обслуживания, на базе которых организованы лагеря с дневным пребыванием и 2 загородных лагеря.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официальном сайте департамента образования Еврейской автономной области (</w:t>
      </w:r>
      <w:hyperlink r:id="rId11" w:tooltip="https://komobr-eao.ru/" w:history="1">
        <w:r>
          <w:rPr>
            <w:rStyle w:val="860"/>
            <w:rFonts w:ascii="Times New Roman" w:hAnsi="Times New Roman" w:eastAsia="Times New Roman" w:cs="Times New Roman"/>
            <w:sz w:val="28"/>
            <w:szCs w:val="28"/>
            <w:lang w:eastAsia="ru-RU"/>
          </w:rPr>
          <w:t xml:space="preserve">https://komobr-eao.ru/</w:t>
        </w:r>
      </w:hyperlink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создан раздел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«Региональный государственный контроль за достоверностью, актуальностью и полнотой сведений, содержащихся в реестре организаций отдыха детей»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(далее – Раздел)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 ко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тором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размещены: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1) материалы и сведения, касающиеся осуществляемых контрольным (надзорным) органом мер по профилактике рисков причинения вреда охраняемым законом ценностям (нарушений обязательных требований);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2) приказ контрольного (надзорного) органа, утверждающий перечень нормативных правовых актов или их отдельных частей (положений), содержащих обязательные требования, соблюдение которых оценивается при осуществлении государственного контроля (надзора);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3) перечень нормативных правовых актов и их отдельных частей, содержащих обязательные требования, оценка соблюдения которых является предметом государственн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ого контроля (надзора), а также текстов соответствующих нормативных правовых актов или их отдельных частей (https://komobr-eao.ru/deyatelnost/otdyh-i-ozdorovlenie-detej/regionalnyj-gosudarstvennyj-kontrol-za-dostovernostyu-aktualnostyu-i-polnotoj-svedenij-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soderzhashhihsya-v-reestre-organizatsij-otdyha-detej/npa-soderzhashhie-obyazatelnye-trebovaniya.html);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доклад, содержащий результаты обобщения правоприменительной практики осуществления регионального государственного контроля (надзора) и об эффективности такого контроля на территории Еврейской автономной области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утверждаемый приказом контрольного (надзорного) органа;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проверочные листы (списки контрольных вопросов), применяемые при проведении ко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нтрольных надзорных мероприятий.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 о региональном государственном контроле (надзоре) подготовлен и размещен в системе мониторинга https://monitoring.ar.gov.ru.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контролируемых лиц п</w:t>
      </w:r>
      <w:r>
        <w:rPr>
          <w:rFonts w:ascii="Times New Roman" w:hAnsi="Times New Roman" w:cs="Times New Roman"/>
          <w:sz w:val="28"/>
          <w:szCs w:val="28"/>
        </w:rPr>
        <w:t xml:space="preserve">роводилось </w:t>
      </w:r>
      <w:r>
        <w:rPr>
          <w:rFonts w:ascii="Times New Roman" w:hAnsi="Times New Roman" w:cs="Times New Roman"/>
          <w:sz w:val="28"/>
          <w:szCs w:val="28"/>
        </w:rPr>
        <w:t xml:space="preserve">консультирование по вопросам, связанным с организацией и осуществлением регионального государственного контроля (надзора) (по телефону).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Такие профилактическими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как объявления предостережений и п</w:t>
      </w:r>
      <w:r>
        <w:rPr>
          <w:rFonts w:ascii="Times New Roman" w:hAnsi="Times New Roman" w:cs="Times New Roman"/>
          <w:sz w:val="28"/>
          <w:szCs w:val="28"/>
        </w:rPr>
        <w:t xml:space="preserve">рофилактический визит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пр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водились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Раздел 2. Цели и задачи реализации программы профилактики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рисков причинения вреда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Основные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цели программы профилактики: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устранение условий, причин и факторов, повлекших (способных повлечь) нарушения обязательных требований и (или) причинение вреда (ущерба)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в сфере организации отдыха и оздоровления детей;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создание условий для доведения обязательных требований до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юридических лиц и индивидуальных предпринимателей, осуществляющих на территории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Еврейской автономной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области деятельность в сфере организации отдыха и оздоровления детей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повышение информированности о способах их соблюдения;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обеспечение достоверности, актуальности и полноты сведений об организациях отдыха детей и их оздоровления, содержащихся в Реестре;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hi-IN"/>
        </w:rPr>
        <w:t xml:space="preserve">- повышение прозрачности системы контрольной (надзорной) деятельности при проведении контрольных (надзорных) мероприятий по региональному государственному контролю (надзору).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Основные задачи программы профилактики: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обеспечение соблюдения требований нормативных правовых актов в сфере организации отдыха и оздоровления детей;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выявление и оценка условий, причин и факторов, повлекших (способных повлечь) нарушения обязательных требований и (или) причинение вреда (ущерба)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в сфере организации отдыха и оздоровления детей;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- устранение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условий, причин и факторов, повлекших (способных повлечь) нарушения обязательных требований и (или) причинение вреда (ущерба)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в сфере организации отдыха и оздоровления детей;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повышение правовой грамотности руководителей организаций и индивидуальных предпринимателей, осуществляющих деятельность в сфере организации отдыха и оздоровления детей, в том числе путем обеспечения доступности информации в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указанной сфере;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формирование единого понимания обязательных требований в сфере организации отдыха и оздоровления детей у всех участников контрольной деятельности.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Раздел 3. Перечень профилактических мероприятий,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сроки (периодичность) их проведения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В соответствии с Положением о региональном государственном контроле (надзоре)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Департамент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проводит следующие профилактичес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кие мероприятия: информирование,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обобщен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ие правоприменительной практики,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объявление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предостережения, консультирование,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профилактический визит.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Ответственный исполнитель профилактических мероприятий в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Департаменте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является отдел общего образования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и воспитания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Департамент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(далее – отдел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Департамента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53"/>
        <w:tblW w:w="5000" w:type="pct"/>
        <w:tblLook w:val="04A0" w:firstRow="1" w:lastRow="0" w:firstColumn="1" w:lastColumn="0" w:noHBand="0" w:noVBand="1"/>
      </w:tblPr>
      <w:tblGrid>
        <w:gridCol w:w="594"/>
        <w:gridCol w:w="4561"/>
        <w:gridCol w:w="2355"/>
        <w:gridCol w:w="2061"/>
      </w:tblGrid>
      <w:tr>
        <w:trPr>
          <w:cantSplit/>
          <w:tblHeader/>
        </w:trPr>
        <w:tc>
          <w:tcPr>
            <w:tcW w:w="289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1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Профилактическое мероприятие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3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реализации/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6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Ответственный исполнитель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gridSpan w:val="4"/>
            <w:tcW w:w="500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1.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u w:val="single"/>
              </w:rPr>
              <w:t xml:space="preserve">Вид профилактического мероприятия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Информирование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контролируемых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посредством размещения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официальном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информационно-телекоммуникационной сети «Интернет» по адресу: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https://komobr-eao.ru/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разделе «Региональный государственный контроль за достоверностью, актуальностью и полнотой сведений, содержащихся в реестре организаций отдыха детей»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далее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соответствующих сведений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cantSplit/>
          <w:tblHeader/>
        </w:trPr>
        <w:tc>
          <w:tcPr>
            <w:tcW w:w="28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15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и размещение Перечней правовых актов, содержащих обязательные требования, соблюдение которых является предметом регионального государственного контроля (надзора), а также текстов соответствующих правовых 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3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месяца после вступления в силу нормативных правовых актов и изменений и дополнений к ним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6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Главный специалист-эксперт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cantSplit/>
          <w:tblHeader/>
        </w:trPr>
        <w:tc>
          <w:tcPr>
            <w:tcW w:w="28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15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перечня юридических лиц и индивидуальных предпринимателей, оказывающих услуги по организации отдыха детей и их оздоровления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Еврейской автономной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области, с указанием категории риска причинения вреда (ущерба)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3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6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Главный специалист-эксперт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r>
          </w:p>
        </w:tc>
      </w:tr>
      <w:tr>
        <w:trPr>
          <w:cantSplit/>
          <w:tblHeader/>
        </w:trPr>
        <w:tc>
          <w:tcPr>
            <w:tcW w:w="28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15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следующих сведений: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исчерпывающего перечня сведений, которые могут запрашиваться контрольным (надзорным) органом у контролируемого лица;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сведений о способах получения консультаций по вопросам соблюдения обязательных требований;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сведений о порядке досудебного обжалования решений управления, действий (бездействия) его должностных лиц.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3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6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Главный специалист-эксперт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r>
          </w:p>
        </w:tc>
      </w:tr>
      <w:tr>
        <w:trPr>
          <w:cantSplit/>
          <w:tblHeader/>
        </w:trPr>
        <w:tc>
          <w:tcPr>
            <w:tcW w:w="28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15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доклада о региональном государственном контроле (надзоре)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3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15 марта 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6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Главный специалист-эксперт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r>
          </w:p>
        </w:tc>
      </w:tr>
      <w:tr>
        <w:trPr>
          <w:cantSplit/>
          <w:tblHeader/>
        </w:trPr>
        <w:tc>
          <w:tcPr>
            <w:tcW w:w="28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15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контролируемых лиц посредством размещения информации о результатах проверок в Единый реестр контрольных (надзорных) мероприятий (ЕРКНМ)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3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3-х рабочих дней после завершения проверки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6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Начальник отдела,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главный специалист-эксперт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r>
          </w:p>
        </w:tc>
      </w:tr>
      <w:tr>
        <w:trPr>
          <w:cantSplit/>
          <w:tblHeader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2.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u w:val="single"/>
              </w:rPr>
              <w:t xml:space="preserve">Вид профилактического мероприятия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Обобщение правоприменительной практики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r>
          </w:p>
        </w:tc>
      </w:tr>
      <w:tr>
        <w:trPr>
          <w:cantSplit/>
          <w:tblHeader/>
        </w:trPr>
        <w:tc>
          <w:tcPr>
            <w:tcW w:w="28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15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размещение на официальном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ежегодного доклада, содержащего результаты обобщения правоприменительной практики  осуществления регионального государственного контроля (надзора) и об эффективности такого контроля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Еврейской автономной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 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3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марта 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6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Главный специалист-эксперт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r>
          </w:p>
        </w:tc>
      </w:tr>
      <w:tr>
        <w:trPr>
          <w:cantSplit/>
          <w:tblHeader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3.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u w:val="single"/>
              </w:rPr>
              <w:t xml:space="preserve">Вид профилактического мероприятия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Объявления предостережения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r>
          </w:p>
        </w:tc>
      </w:tr>
      <w:tr>
        <w:trPr>
          <w:cantSplit/>
          <w:tblHeader/>
        </w:trPr>
        <w:tc>
          <w:tcPr>
            <w:tcW w:w="28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15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конт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ролируемым лицам предостережения о недопустимости нарушения обязательных требований и предложения принять меры по обеспечению соблюдения обязательных требований на основании полученных сведений о готовящихся нарушениях обязательных требований или признаках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3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7-х рабочих дней после получения соответствующих сведений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6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Начальник отдела,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главный специалист-эксперт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r>
          </w:p>
        </w:tc>
      </w:tr>
      <w:tr>
        <w:trPr>
          <w:cantSplit/>
          <w:tblHeader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4.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u w:val="single"/>
              </w:rPr>
              <w:t xml:space="preserve">Вид профилактического мероприятия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Консультирование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r>
          </w:p>
        </w:tc>
      </w:tr>
      <w:tr>
        <w:trPr>
          <w:cantSplit/>
          <w:tblHeader/>
        </w:trPr>
        <w:tc>
          <w:tcPr>
            <w:tcW w:w="28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15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рование по вопросам, связанным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организацией и осуществлением регионального государственного контроля (надзора) (по телефону, посредством видео-конференц-связи, на личном приеме, в ходе профилактического мероприятия, в ходе контрольного (надзорного) мероприятия)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3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более тридцати минут с момента получения вопроса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6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Начальник отдела,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главный специалист-эксперт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r>
          </w:p>
        </w:tc>
      </w:tr>
      <w:tr>
        <w:trPr>
          <w:cantSplit/>
          <w:tblHeader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5.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u w:val="single"/>
              </w:rPr>
              <w:t xml:space="preserve">Вид профилактического мероприятия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Профилактический визит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r>
          </w:p>
        </w:tc>
      </w:tr>
      <w:tr>
        <w:trPr>
          <w:cantSplit/>
          <w:tblHeader/>
        </w:trPr>
        <w:tc>
          <w:tcPr>
            <w:tcW w:w="28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15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профилактического визита в форме профилактической беседы по месту осуществления деятельности контролируемого лица либо путем использования видео-конференц-связи в отношении контролируемых лиц: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впервые приступающих к осуществлению деятельности в сфере организации отдыха детей и их оздоровления и включенных в Реестр;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деятельность которых отнесена к категории среднего и умеренного риска.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3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одного календарного года с момента начала такой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одного календарного года со дня принятия решения об отнесении объекта контроля к указанной категории риска, далее - 1 раз в 3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6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Начальник отдела,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главный специалист-эксперт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Раздел 4. Показатели результативности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эффективности программы профилактики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Программа профилактики призвана обеспечить создание условий для снижения случаев нарушения законодательства в сфере организации отдыха и оздоровления детей, повышения эффективности регионального государственного контроля (надзора).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Реализация программы профилактики будет способствовать предотвращению нарушений и своевременному выполнению обязательных требований контролируемыми лицами.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Для оценки мероприятий по профилактике нарушений и в целом программы профилактики устанавливаются следу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ющие отчетные показатели на 2024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год: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53"/>
        <w:tblW w:w="0" w:type="auto"/>
        <w:tblLook w:val="04A0" w:firstRow="1" w:lastRow="0" w:firstColumn="1" w:lastColumn="0" w:noHBand="0" w:noVBand="1"/>
      </w:tblPr>
      <w:tblGrid>
        <w:gridCol w:w="528"/>
        <w:gridCol w:w="5943"/>
        <w:gridCol w:w="1550"/>
        <w:gridCol w:w="1550"/>
      </w:tblGrid>
      <w:tr>
        <w:trPr>
          <w:tblHeader/>
        </w:trPr>
        <w:tc>
          <w:tcPr>
            <w:tcW w:w="5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9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отчетного показателя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52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943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перечня нормативных правовых актов и их отдельных частей, содержащих обязательные требования, соблюдение которых оценивается при осуществлении регионального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государственного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52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943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(актуализация) руководств по соблюдению контролируемыми лицами обязательных требований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52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943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конференций, семинаров и консультаций для контролируемых лиц по актуальным вопросам контрольной деятельности, проведение публичных мероприятий по вопросам соблюдения обязательных требований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52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943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практики осуществления регионального государственного контроля (надзора)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Оценка эффективности программы профилактики.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Программа профилактики призвана обеспечить создание условий для максимально возможного снижения случаев нарушения обязательных требований в сфере организации отдыха и оздоровления детей на территории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Еврейской автономной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области, формирования заинтересованности объектов регионального государственного контроля (надзора) в безусловном соблюдении законодательства.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Непосредственные результаты (реализованные мероприятия).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открытом доступе на официальном сайте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Департамента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по адресу: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https://komobr-eao.ru/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размещены актуальные сведения об осуществлении регионального государственного контроля (надзора).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Конечные результаты (социальный и экономический эффект от реализованных мероприятий).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Ожидаемый социальный эффект пр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офилактики нарушений обязательных требований может быть достигнут только на условиях конструктивного сотрудничества на постоянно основе с контролируемыми лицами по вопросам соблюдения обязательных требований в сфере организации отдыха и оздоровления детей.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Экономический эффект от реализованных мероприятий: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снижение количества зафиксированных нарушений обязательных требований;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снижение рисков причинения вреда охраняемым законом ценностям;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повышение эффективности обеспечения соблюдения установленных норм и правил законодательства в сфере отдыха и оздоровления детей;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повышение уровня правовой грамотности объектов регионального государственного контроля (надзора).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245" w:right="-28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Calibri">
    <w:panose1 w:val="020F050202020403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84350717"/>
      <w:docPartObj>
        <w:docPartGallery w:val="Page Numbers (Top of Page)"/>
        <w:docPartUnique w:val="true"/>
      </w:docPartObj>
      <w:rPr/>
    </w:sdtPr>
    <w:sdtContent>
      <w:p>
        <w:pPr>
          <w:pStyle w:val="856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59" w:hanging="45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5">
    <w:name w:val="Heading 1"/>
    <w:basedOn w:val="849"/>
    <w:next w:val="849"/>
    <w:link w:val="67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6">
    <w:name w:val="Heading 1 Char"/>
    <w:basedOn w:val="850"/>
    <w:link w:val="675"/>
    <w:uiPriority w:val="9"/>
    <w:rPr>
      <w:rFonts w:ascii="Arial" w:hAnsi="Arial" w:eastAsia="Arial" w:cs="Arial"/>
      <w:sz w:val="40"/>
      <w:szCs w:val="40"/>
    </w:rPr>
  </w:style>
  <w:style w:type="paragraph" w:styleId="677">
    <w:name w:val="Heading 2"/>
    <w:basedOn w:val="849"/>
    <w:next w:val="849"/>
    <w:link w:val="67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8">
    <w:name w:val="Heading 2 Char"/>
    <w:basedOn w:val="850"/>
    <w:link w:val="677"/>
    <w:uiPriority w:val="9"/>
    <w:rPr>
      <w:rFonts w:ascii="Arial" w:hAnsi="Arial" w:eastAsia="Arial" w:cs="Arial"/>
      <w:sz w:val="34"/>
    </w:rPr>
  </w:style>
  <w:style w:type="paragraph" w:styleId="679">
    <w:name w:val="Heading 3"/>
    <w:basedOn w:val="849"/>
    <w:next w:val="849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0">
    <w:name w:val="Heading 3 Char"/>
    <w:basedOn w:val="850"/>
    <w:link w:val="679"/>
    <w:uiPriority w:val="9"/>
    <w:rPr>
      <w:rFonts w:ascii="Arial" w:hAnsi="Arial" w:eastAsia="Arial" w:cs="Arial"/>
      <w:sz w:val="30"/>
      <w:szCs w:val="30"/>
    </w:rPr>
  </w:style>
  <w:style w:type="paragraph" w:styleId="681">
    <w:name w:val="Heading 4"/>
    <w:basedOn w:val="849"/>
    <w:next w:val="849"/>
    <w:link w:val="68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2">
    <w:name w:val="Heading 4 Char"/>
    <w:basedOn w:val="850"/>
    <w:link w:val="681"/>
    <w:uiPriority w:val="9"/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849"/>
    <w:next w:val="849"/>
    <w:link w:val="68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4">
    <w:name w:val="Heading 5 Char"/>
    <w:basedOn w:val="850"/>
    <w:link w:val="683"/>
    <w:uiPriority w:val="9"/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849"/>
    <w:next w:val="849"/>
    <w:link w:val="68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6">
    <w:name w:val="Heading 6 Char"/>
    <w:basedOn w:val="850"/>
    <w:link w:val="685"/>
    <w:uiPriority w:val="9"/>
    <w:rPr>
      <w:rFonts w:ascii="Arial" w:hAnsi="Arial" w:eastAsia="Arial" w:cs="Arial"/>
      <w:b/>
      <w:bCs/>
      <w:sz w:val="22"/>
      <w:szCs w:val="22"/>
    </w:rPr>
  </w:style>
  <w:style w:type="paragraph" w:styleId="687">
    <w:name w:val="Heading 7"/>
    <w:basedOn w:val="849"/>
    <w:next w:val="849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8">
    <w:name w:val="Heading 7 Char"/>
    <w:basedOn w:val="850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9">
    <w:name w:val="Heading 8"/>
    <w:basedOn w:val="849"/>
    <w:next w:val="849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0">
    <w:name w:val="Heading 8 Char"/>
    <w:basedOn w:val="850"/>
    <w:link w:val="689"/>
    <w:uiPriority w:val="9"/>
    <w:rPr>
      <w:rFonts w:ascii="Arial" w:hAnsi="Arial" w:eastAsia="Arial" w:cs="Arial"/>
      <w:i/>
      <w:iCs/>
      <w:sz w:val="22"/>
      <w:szCs w:val="22"/>
    </w:rPr>
  </w:style>
  <w:style w:type="paragraph" w:styleId="691">
    <w:name w:val="Heading 9"/>
    <w:basedOn w:val="849"/>
    <w:next w:val="849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2">
    <w:name w:val="Heading 9 Char"/>
    <w:basedOn w:val="850"/>
    <w:link w:val="691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List Paragraph"/>
    <w:basedOn w:val="849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before="0" w:after="0" w:line="240" w:lineRule="auto"/>
    </w:pPr>
  </w:style>
  <w:style w:type="paragraph" w:styleId="695">
    <w:name w:val="Title"/>
    <w:basedOn w:val="849"/>
    <w:next w:val="849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0"/>
    <w:link w:val="695"/>
    <w:uiPriority w:val="10"/>
    <w:rPr>
      <w:sz w:val="48"/>
      <w:szCs w:val="48"/>
    </w:rPr>
  </w:style>
  <w:style w:type="paragraph" w:styleId="697">
    <w:name w:val="Subtitle"/>
    <w:basedOn w:val="849"/>
    <w:next w:val="849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0"/>
    <w:link w:val="697"/>
    <w:uiPriority w:val="11"/>
    <w:rPr>
      <w:sz w:val="24"/>
      <w:szCs w:val="24"/>
    </w:rPr>
  </w:style>
  <w:style w:type="paragraph" w:styleId="699">
    <w:name w:val="Quote"/>
    <w:basedOn w:val="849"/>
    <w:next w:val="849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49"/>
    <w:next w:val="849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character" w:styleId="703">
    <w:name w:val="Header Char"/>
    <w:basedOn w:val="850"/>
    <w:link w:val="856"/>
    <w:uiPriority w:val="99"/>
  </w:style>
  <w:style w:type="character" w:styleId="704">
    <w:name w:val="Footer Char"/>
    <w:basedOn w:val="850"/>
    <w:link w:val="858"/>
    <w:uiPriority w:val="99"/>
  </w:style>
  <w:style w:type="paragraph" w:styleId="705">
    <w:name w:val="Caption"/>
    <w:basedOn w:val="849"/>
    <w:next w:val="8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basedOn w:val="705"/>
    <w:link w:val="858"/>
    <w:uiPriority w:val="99"/>
  </w:style>
  <w:style w:type="table" w:styleId="707">
    <w:name w:val="Table Grid Light"/>
    <w:basedOn w:val="85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basedOn w:val="85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basedOn w:val="85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6">
    <w:name w:val="List Table 7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7">
    <w:name w:val="List Table 7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8">
    <w:name w:val="List Table 7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9">
    <w:name w:val="List Table 7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0">
    <w:name w:val="List Table 7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1">
    <w:name w:val="Lined - Accent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3">
    <w:name w:val="Lined - Accent 2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4">
    <w:name w:val="Lined - Accent 3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5">
    <w:name w:val="Lined - Accent 4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6">
    <w:name w:val="Lined - Accent 5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7">
    <w:name w:val="Lined - Accent 6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8">
    <w:name w:val="Bordered &amp; Lined - Accent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0">
    <w:name w:val="Bordered &amp; Lined - Accent 2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1">
    <w:name w:val="Bordered &amp; Lined - Accent 3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2">
    <w:name w:val="Bordered &amp; Lined - Accent 4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3">
    <w:name w:val="Bordered &amp; Lined - Accent 5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4">
    <w:name w:val="Bordered &amp; Lined - Accent 6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5">
    <w:name w:val="Bordered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2">
    <w:name w:val="footnote text"/>
    <w:basedOn w:val="849"/>
    <w:link w:val="833"/>
    <w:uiPriority w:val="99"/>
    <w:semiHidden/>
    <w:unhideWhenUsed/>
    <w:pPr>
      <w:spacing w:after="40" w:line="240" w:lineRule="auto"/>
    </w:pPr>
    <w:rPr>
      <w:sz w:val="18"/>
    </w:rPr>
  </w:style>
  <w:style w:type="character" w:styleId="833">
    <w:name w:val="Footnote Text Char"/>
    <w:link w:val="832"/>
    <w:uiPriority w:val="99"/>
    <w:rPr>
      <w:sz w:val="18"/>
    </w:rPr>
  </w:style>
  <w:style w:type="character" w:styleId="834">
    <w:name w:val="footnote reference"/>
    <w:basedOn w:val="850"/>
    <w:uiPriority w:val="99"/>
    <w:unhideWhenUsed/>
    <w:rPr>
      <w:vertAlign w:val="superscript"/>
    </w:rPr>
  </w:style>
  <w:style w:type="paragraph" w:styleId="835">
    <w:name w:val="endnote text"/>
    <w:basedOn w:val="849"/>
    <w:link w:val="836"/>
    <w:uiPriority w:val="99"/>
    <w:semiHidden/>
    <w:unhideWhenUsed/>
    <w:pPr>
      <w:spacing w:after="0" w:line="240" w:lineRule="auto"/>
    </w:pPr>
    <w:rPr>
      <w:sz w:val="20"/>
    </w:rPr>
  </w:style>
  <w:style w:type="character" w:styleId="836">
    <w:name w:val="Endnote Text Char"/>
    <w:link w:val="835"/>
    <w:uiPriority w:val="99"/>
    <w:rPr>
      <w:sz w:val="20"/>
    </w:rPr>
  </w:style>
  <w:style w:type="character" w:styleId="837">
    <w:name w:val="endnote reference"/>
    <w:basedOn w:val="850"/>
    <w:uiPriority w:val="99"/>
    <w:semiHidden/>
    <w:unhideWhenUsed/>
    <w:rPr>
      <w:vertAlign w:val="superscript"/>
    </w:rPr>
  </w:style>
  <w:style w:type="paragraph" w:styleId="838">
    <w:name w:val="toc 1"/>
    <w:basedOn w:val="849"/>
    <w:next w:val="849"/>
    <w:uiPriority w:val="39"/>
    <w:unhideWhenUsed/>
    <w:pPr>
      <w:ind w:left="0" w:right="0" w:firstLine="0"/>
      <w:spacing w:after="57"/>
    </w:pPr>
  </w:style>
  <w:style w:type="paragraph" w:styleId="839">
    <w:name w:val="toc 2"/>
    <w:basedOn w:val="849"/>
    <w:next w:val="849"/>
    <w:uiPriority w:val="39"/>
    <w:unhideWhenUsed/>
    <w:pPr>
      <w:ind w:left="283" w:right="0" w:firstLine="0"/>
      <w:spacing w:after="57"/>
    </w:pPr>
  </w:style>
  <w:style w:type="paragraph" w:styleId="840">
    <w:name w:val="toc 3"/>
    <w:basedOn w:val="849"/>
    <w:next w:val="849"/>
    <w:uiPriority w:val="39"/>
    <w:unhideWhenUsed/>
    <w:pPr>
      <w:ind w:left="567" w:right="0" w:firstLine="0"/>
      <w:spacing w:after="57"/>
    </w:pPr>
  </w:style>
  <w:style w:type="paragraph" w:styleId="841">
    <w:name w:val="toc 4"/>
    <w:basedOn w:val="849"/>
    <w:next w:val="849"/>
    <w:uiPriority w:val="39"/>
    <w:unhideWhenUsed/>
    <w:pPr>
      <w:ind w:left="850" w:right="0" w:firstLine="0"/>
      <w:spacing w:after="57"/>
    </w:pPr>
  </w:style>
  <w:style w:type="paragraph" w:styleId="842">
    <w:name w:val="toc 5"/>
    <w:basedOn w:val="849"/>
    <w:next w:val="849"/>
    <w:uiPriority w:val="39"/>
    <w:unhideWhenUsed/>
    <w:pPr>
      <w:ind w:left="1134" w:right="0" w:firstLine="0"/>
      <w:spacing w:after="57"/>
    </w:pPr>
  </w:style>
  <w:style w:type="paragraph" w:styleId="843">
    <w:name w:val="toc 6"/>
    <w:basedOn w:val="849"/>
    <w:next w:val="849"/>
    <w:uiPriority w:val="39"/>
    <w:unhideWhenUsed/>
    <w:pPr>
      <w:ind w:left="1417" w:right="0" w:firstLine="0"/>
      <w:spacing w:after="57"/>
    </w:pPr>
  </w:style>
  <w:style w:type="paragraph" w:styleId="844">
    <w:name w:val="toc 7"/>
    <w:basedOn w:val="849"/>
    <w:next w:val="849"/>
    <w:uiPriority w:val="39"/>
    <w:unhideWhenUsed/>
    <w:pPr>
      <w:ind w:left="1701" w:right="0" w:firstLine="0"/>
      <w:spacing w:after="57"/>
    </w:pPr>
  </w:style>
  <w:style w:type="paragraph" w:styleId="845">
    <w:name w:val="toc 8"/>
    <w:basedOn w:val="849"/>
    <w:next w:val="849"/>
    <w:uiPriority w:val="39"/>
    <w:unhideWhenUsed/>
    <w:pPr>
      <w:ind w:left="1984" w:right="0" w:firstLine="0"/>
      <w:spacing w:after="57"/>
    </w:pPr>
  </w:style>
  <w:style w:type="paragraph" w:styleId="846">
    <w:name w:val="toc 9"/>
    <w:basedOn w:val="849"/>
    <w:next w:val="849"/>
    <w:uiPriority w:val="39"/>
    <w:unhideWhenUsed/>
    <w:pPr>
      <w:ind w:left="2268" w:right="0" w:firstLine="0"/>
      <w:spacing w:after="57"/>
    </w:pPr>
  </w:style>
  <w:style w:type="paragraph" w:styleId="847">
    <w:name w:val="TOC Heading"/>
    <w:uiPriority w:val="39"/>
    <w:unhideWhenUsed/>
  </w:style>
  <w:style w:type="paragraph" w:styleId="848">
    <w:name w:val="table of figures"/>
    <w:basedOn w:val="849"/>
    <w:next w:val="849"/>
    <w:uiPriority w:val="99"/>
    <w:unhideWhenUsed/>
    <w:pPr>
      <w:spacing w:after="0" w:afterAutospacing="0"/>
    </w:pPr>
  </w:style>
  <w:style w:type="paragraph" w:styleId="849" w:default="1">
    <w:name w:val="Normal"/>
    <w:qFormat/>
  </w:style>
  <w:style w:type="character" w:styleId="850" w:default="1">
    <w:name w:val="Default Paragraph Font"/>
    <w:uiPriority w:val="1"/>
    <w:semiHidden/>
    <w:unhideWhenUsed/>
  </w:style>
  <w:style w:type="table" w:styleId="85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2" w:default="1">
    <w:name w:val="No List"/>
    <w:uiPriority w:val="99"/>
    <w:semiHidden/>
    <w:unhideWhenUsed/>
  </w:style>
  <w:style w:type="table" w:styleId="853">
    <w:name w:val="Table Grid"/>
    <w:basedOn w:val="851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54">
    <w:name w:val="Balloon Text"/>
    <w:basedOn w:val="849"/>
    <w:link w:val="85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5" w:customStyle="1">
    <w:name w:val="Текст выноски Знак"/>
    <w:basedOn w:val="850"/>
    <w:link w:val="854"/>
    <w:uiPriority w:val="99"/>
    <w:semiHidden/>
    <w:rPr>
      <w:rFonts w:ascii="Segoe UI" w:hAnsi="Segoe UI" w:cs="Segoe UI"/>
      <w:sz w:val="18"/>
      <w:szCs w:val="18"/>
    </w:rPr>
  </w:style>
  <w:style w:type="paragraph" w:styleId="856">
    <w:name w:val="Header"/>
    <w:basedOn w:val="849"/>
    <w:link w:val="85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7" w:customStyle="1">
    <w:name w:val="Верхний колонтитул Знак"/>
    <w:basedOn w:val="850"/>
    <w:link w:val="856"/>
    <w:uiPriority w:val="99"/>
  </w:style>
  <w:style w:type="paragraph" w:styleId="858">
    <w:name w:val="Footer"/>
    <w:basedOn w:val="849"/>
    <w:link w:val="85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9" w:customStyle="1">
    <w:name w:val="Нижний колонтитул Знак"/>
    <w:basedOn w:val="850"/>
    <w:link w:val="858"/>
    <w:uiPriority w:val="99"/>
  </w:style>
  <w:style w:type="character" w:styleId="860">
    <w:name w:val="Hyperlink"/>
    <w:basedOn w:val="850"/>
    <w:uiPriority w:val="99"/>
    <w:unhideWhenUsed/>
    <w:rPr>
      <w:color w:val="0563c1" w:themeColor="hyperlink"/>
      <w:u w:val="single"/>
    </w:rPr>
  </w:style>
  <w:style w:type="paragraph" w:styleId="1_1354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3463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hyperlink" Target="https://komobr-eao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Бабайцева Елена Викторовна</dc:creator>
  <cp:keywords/>
  <dc:description/>
  <cp:revision>224</cp:revision>
  <dcterms:created xsi:type="dcterms:W3CDTF">2021-10-11T00:21:00Z</dcterms:created>
  <dcterms:modified xsi:type="dcterms:W3CDTF">2023-12-08T01:25:11Z</dcterms:modified>
</cp:coreProperties>
</file>